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numbering.xml" ContentType="application/vnd.openxmlformats-officedocument.wordprocessingml.numbering+xml"/>
  <Override PartName="/word/footer6.xml" ContentType="application/vnd.openxmlformats-officedocument.wordprocessingml.footer+xml"/>
  <Override PartName="/word/footer9.xml" ContentType="application/vnd.openxmlformats-officedocument.wordprocessingml.footer+xml"/>
  <Override PartName="/word/theme/theme1.xml" ContentType="application/vnd.openxmlformats-officedocument.theme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footer4.xml" ContentType="application/vnd.openxmlformats-officedocument.wordprocessingml.footer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oter3.xml" ContentType="application/vnd.openxmlformats-officedocument.wordprocessingml.footer+xml"/>
  <Override PartName="/word/document.xml" ContentType="application/vnd.openxmlformats-officedocument.wordprocessingml.document.main+xml"/>
  <Override PartName="/word/media/image1.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pBdr>
          <w:top w:val="nil"/>
          <w:left w:val="nil"/>
          <w:bottom w:val="nil"/>
          <w:right w:val="nil"/>
        </w:pBdr>
        <w:spacing w:before="0" w:after="0"/>
        <w:ind w:left="7615" w:right="44" w:hanging="0"/>
        <w:rPr/>
      </w:pPr>
      <w:r>
        <w:rPr/>
        <w:t xml:space="preserve">Приложение No </w:t>
      </w:r>
      <w:r>
        <w:rPr/>
        <w:t>7</w:t>
      </w:r>
      <w:r>
        <w:rPr/>
        <w:t xml:space="preserve"> к Договору подряда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0"/>
        <w:ind w:left="10" w:right="44" w:hanging="10"/>
        <w:jc w:val="right"/>
        <w:rPr/>
      </w:pPr>
      <w:r>
        <w:rPr/>
        <w:t>от «____» __________ 20 _ г. No _______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0" w:right="0" w:hanging="0"/>
        <w:jc w:val="left"/>
        <w:rPr/>
      </w:pPr>
      <w:bookmarkStart w:id="0" w:name="_GoBack"/>
      <w:bookmarkEnd w:id="0"/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-147955</wp:posOffset>
            </wp:positionH>
            <wp:positionV relativeFrom="paragraph">
              <wp:posOffset>144780</wp:posOffset>
            </wp:positionV>
            <wp:extent cx="6241415" cy="8782050"/>
            <wp:effectExtent l="0" t="0" r="0" b="0"/>
            <wp:wrapNone/>
            <wp:docPr id="1" name="Рисунок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4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0" r="0" b="13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-350" w:right="-290" w:hanging="0"/>
        <w:jc w:val="left"/>
        <w:rPr/>
      </w:pPr>
      <w:r>
        <w:rPr/>
      </w:r>
    </w:p>
    <w:p>
      <w:pPr>
        <w:sectPr>
          <w:footerReference w:type="even" r:id="rId3"/>
          <w:footerReference w:type="default" r:id="rId4"/>
          <w:footerReference w:type="first" r:id="rId5"/>
          <w:type w:val="nextPage"/>
          <w:pgSz w:w="11906" w:h="16838"/>
          <w:pgMar w:left="1133" w:right="1069" w:gutter="0" w:header="0" w:top="851" w:footer="654" w:bottom="1440"/>
          <w:pgNumType w:fmt="decimal"/>
          <w:formProt w:val="false"/>
          <w:textDirection w:val="lrTb"/>
          <w:docGrid w:type="default" w:linePitch="100" w:charSpace="0"/>
        </w:sect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0" w:right="0" w:hanging="0"/>
        <w:jc w:val="left"/>
        <w:rPr/>
      </w:pP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64" w:before="0" w:after="247"/>
        <w:ind w:left="40" w:right="0" w:hanging="10"/>
        <w:jc w:val="center"/>
        <w:rPr/>
      </w:pPr>
      <w:r>
        <w:rPr>
          <w:sz w:val="20"/>
        </w:rPr>
        <w:t xml:space="preserve">2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1.12.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>Обосновывающие документы</w:t>
      </w:r>
      <w:r>
        <w:rPr/>
        <w:t xml:space="preserve"> – договоры (контракты), счета (либо заменяющие их документы), акты приемки имущества/выполненных работ, акты приемки в эксплуатацию, накладные и/или другие документы (в том числе расчеты-обоснования, пояснения, справки и отчеты), составленные по формам, не противоречащим законодательству Российской Федерации и подтверждающие факт установления гражданских прав и обязанностей и факт выполнения работ/услуг, связанных с исполнением Сопровождаемого контракта (договора, проекта).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1.13.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 xml:space="preserve">Отдельный счет (Отдельный банковский счет, ОБС) – </w:t>
      </w:r>
      <w:r>
        <w:rPr/>
        <w:t xml:space="preserve">банковский счет, открытый в Банке Клиенту для проведения операций при исполнении Сопровождаемого контракта (договора, проекта).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1.14.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>Распоряжение на перевод</w:t>
      </w:r>
      <w:r>
        <w:rPr/>
        <w:t xml:space="preserve"> – платежное поручение или иной расчетный (платежный) документ, форма которого определена Положением Банка России от 29.06.2021 N 762-П «О правилах осуществления перевода денежных средств».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1.15.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>Сайт Банка</w:t>
      </w:r>
      <w:r>
        <w:rPr/>
        <w:t xml:space="preserve"> – официальный сайте Банка в сети Интернет по адресу: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spacing w:lineRule="auto" w:line="259" w:before="0" w:after="5"/>
        <w:ind w:left="0" w:right="106" w:firstLine="567"/>
        <w:jc w:val="left"/>
        <w:rPr/>
      </w:pPr>
      <w:r>
        <w:rPr>
          <w:color w:val="0000FF"/>
          <w:u w:val="single" w:color="0000FF"/>
        </w:rPr>
        <w:t>www.gazprombank.ru</w:t>
      </w:r>
      <w:r>
        <w:rPr/>
        <w:t xml:space="preserve">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1.16.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>Сопровождаемый контракт (договор, проект)</w:t>
      </w:r>
      <w:r>
        <w:rPr>
          <w:b/>
          <w:sz w:val="20"/>
        </w:rPr>
        <w:t xml:space="preserve"> </w:t>
      </w:r>
      <w:r>
        <w:rPr/>
        <w:t xml:space="preserve">– Договор об осуществлении технологического присоединения к электрическим сетям № </w:t>
      </w:r>
      <w:r>
        <w:rPr>
          <w:sz w:val="26"/>
          <w:szCs w:val="26"/>
          <w:lang w:eastAsia="en-US"/>
        </w:rPr>
        <w:t>114/28/0061/25 от 09.04.2025</w:t>
      </w:r>
      <w:r>
        <w:rPr/>
        <w:t>г.</w:t>
      </w:r>
      <w:r>
        <w:rPr>
          <w:i/>
        </w:rPr>
        <w:t>.</w:t>
      </w:r>
      <w:r>
        <w:rPr>
          <w:sz w:val="31"/>
          <w:vertAlign w:val="subscript"/>
        </w:rPr>
        <w:t xml:space="preserve">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1.17.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 xml:space="preserve">СДБО «Клиент-Банк» </w:t>
      </w:r>
      <w:r>
        <w:rPr/>
        <w:t>–</w:t>
      </w:r>
      <w:r>
        <w:rPr>
          <w:b/>
        </w:rPr>
        <w:t xml:space="preserve"> </w:t>
      </w:r>
      <w:r>
        <w:rPr/>
        <w:t xml:space="preserve">корпоративная информационная система, предназначенная для обмена электронными документами между Исполнителем и Банком как через коммутируемый канал связи, так и через сеть Интернет, использование которой согласовано сторонами в соглашении об электронном документообороте.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spacing w:before="0" w:after="145"/>
        <w:ind w:left="0" w:right="106" w:firstLine="567"/>
        <w:rPr/>
      </w:pPr>
      <w:r>
        <w:rPr/>
        <w:t>1.18.</w:t>
      </w:r>
      <w:r>
        <w:rPr>
          <w:rFonts w:eastAsia="Arial" w:cs="Arial" w:ascii="Arial" w:hAnsi="Arial"/>
        </w:rPr>
        <w:t xml:space="preserve"> </w:t>
      </w:r>
      <w:r>
        <w:rPr>
          <w:b/>
        </w:rPr>
        <w:t>Система «ГПБ Бизнес-Онлайн»</w:t>
      </w:r>
      <w:r>
        <w:rPr/>
        <w:t xml:space="preserve"> – корпоративная информационная система, владельцем и оператором которой является Банк, обеспечивающая электронный документооборот между Клиентом и Банком, доступ к которой осуществляется по адресу https://gbo.gazprombank.ru. Порядок и условия использования Системы «ГПБ БизнесОнлайн», в том числе порядок подписания и направления документов, определяются Соглашением об использовании системы электронного документооборота «ГПБ Бизнес Онлайн», заключенным между Клиентом и Банком. </w:t>
      </w:r>
    </w:p>
    <w:p>
      <w:pPr>
        <w:pStyle w:val="Heading1"/>
        <w:pBdr>
          <w:top w:val="single" w:sz="4" w:space="1" w:color="000000"/>
          <w:left w:val="single" w:sz="4" w:space="3" w:color="000000"/>
          <w:bottom w:val="single" w:sz="4" w:space="0" w:color="000000"/>
          <w:right w:val="single" w:sz="4" w:space="0" w:color="000000"/>
        </w:pBdr>
        <w:tabs>
          <w:tab w:val="clear" w:pos="708"/>
          <w:tab w:val="center" w:pos="5150" w:leader="none"/>
        </w:tabs>
        <w:spacing w:before="0" w:after="130"/>
        <w:ind w:left="0" w:right="106" w:firstLine="567"/>
        <w:rPr/>
      </w:pPr>
      <w:r>
        <w:rPr/>
        <w:t>2.</w:t>
      </w:r>
      <w:r>
        <w:rPr>
          <w:rFonts w:eastAsia="Arial" w:cs="Arial" w:ascii="Arial" w:hAnsi="Arial"/>
        </w:rPr>
        <w:t xml:space="preserve"> </w:t>
      </w:r>
      <w:r>
        <w:rPr/>
        <w:t xml:space="preserve">Общие положения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2.1.</w:t>
      </w:r>
      <w:r>
        <w:rPr>
          <w:rFonts w:eastAsia="Arial" w:cs="Arial" w:ascii="Arial" w:hAnsi="Arial"/>
        </w:rPr>
        <w:t xml:space="preserve"> </w:t>
      </w:r>
      <w:r>
        <w:rPr/>
        <w:t xml:space="preserve">Стороны соглашаются, что банковский счет, являющийся Отдельным банковским счетом, носит целевой характер и предназначен исключительно для целей надлежащего исполнения обязательств по Сопровождаемому договору и/или договорам, заключенными в целях реализации Сопровождаемого договора.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2.2.</w:t>
      </w:r>
      <w:r>
        <w:rPr>
          <w:rFonts w:eastAsia="Arial" w:cs="Arial" w:ascii="Arial" w:hAnsi="Arial"/>
        </w:rPr>
        <w:t xml:space="preserve"> </w:t>
      </w:r>
      <w:r>
        <w:rPr/>
        <w:t xml:space="preserve">Акцепт оферты производится путем акцепта настоящей Оферты без каких-либо изъятий и оговорок в порядке, установленном настоящей Офертой, и считается заключенным с момента приема Банком Акцепта.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2.3.</w:t>
      </w:r>
      <w:r>
        <w:rPr>
          <w:rFonts w:eastAsia="Arial" w:cs="Arial" w:ascii="Arial" w:hAnsi="Arial"/>
        </w:rPr>
        <w:t xml:space="preserve"> </w:t>
      </w:r>
      <w:r>
        <w:rPr/>
        <w:t xml:space="preserve">Акцепт оферты предоставляется в отношении конкретного банковского счета, открытого в Банке.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2.4.</w:t>
      </w:r>
      <w:r>
        <w:rPr>
          <w:rFonts w:eastAsia="Arial" w:cs="Arial" w:ascii="Arial" w:hAnsi="Arial"/>
        </w:rPr>
        <w:t xml:space="preserve"> </w:t>
      </w:r>
      <w:r>
        <w:rPr/>
        <w:t xml:space="preserve">Акцепт подписывается собственноручной подписью уполномоченного лица и заверяется оттиском печати Клиента (при наличии) в случае направления на бумажном носителе. При наличии технической возможности у Банка и наличии заключенного с Банком соглашения об использовании Системы «ГПБ Бизнес-Онлайн» Акцепт может быть направлен Клиентом в Банк с использованием Системы «ГПБ Бизнес-Онлайн». В этом случае Акцепт должен быть подписан электронной подписью уполномоченного лица Клиента и направлен в Банк в соответствии с условиями соглашения об использовании Системы «ГПБ Бизнес-Онлайн».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2.5.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имеет право в одностороннем порядке изменить текст Оферты. Изменение текста Оферты не отменяет соглашения, заключенные между Банком и Клиентом путем обмена Офертой и Акцептом, действующие до даты внесения Банком изменений в текст Оферты. Информация об изменениях Оферты доводится до сведения Клиента путем размещения соответствующей информации с полным текстом изменений на Сайте Банка и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 xml:space="preserve">в Личном кабинете не менее чем за 3 (Три) рабочих дня до даты вступления в силу указанных изменений. Клиент с целью обеспечения гарантированного получения сведений о планируемых изменениях Оферты самостоятельно либо через своих уполномоченных представителей обязан ежедневно обращаться на Сайт Банка и в Личный кабинет для получения сведений о планируемых изменениях Оферты. Дополнительное соглашение, заключенное путем обмена Оферты и Акцепта, считаются измененным с даты вступления соответствующих изменений в действие.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2.6.</w:t>
      </w:r>
      <w:r>
        <w:rPr>
          <w:rFonts w:eastAsia="Arial" w:cs="Arial" w:ascii="Arial" w:hAnsi="Arial"/>
        </w:rPr>
        <w:t xml:space="preserve"> </w:t>
      </w:r>
      <w:r>
        <w:rPr/>
        <w:t xml:space="preserve">Стороны соглашаются, что если какие-либо положения Оферты не будут полностью или частично соответствовать законодательству Российской Федерации, нормативным документам Банка России, то стороны будут руководствоваться исключительно законодательством Российской Федерации, нормативными актами Банка России.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2.7.</w:t>
      </w:r>
      <w:r>
        <w:rPr>
          <w:rFonts w:eastAsia="Arial" w:cs="Arial" w:ascii="Arial" w:hAnsi="Arial"/>
        </w:rPr>
        <w:t xml:space="preserve"> </w:t>
      </w:r>
      <w:r>
        <w:rPr/>
        <w:t xml:space="preserve">Дополнительное соглашение, заключенное на основании Акцепта оферты, считается заключенным на неопределенный срок и действует до даты его расторжения.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2.8.</w:t>
      </w:r>
      <w:r>
        <w:rPr>
          <w:rFonts w:eastAsia="Arial" w:cs="Arial" w:ascii="Arial" w:hAnsi="Arial"/>
        </w:rPr>
        <w:t xml:space="preserve"> </w:t>
      </w:r>
      <w:r>
        <w:rPr/>
        <w:t xml:space="preserve">Дополнительное соглашение, заключенное на основании Акцепта оферты, может быть расторгнуто при условии подтверждения Заказчиком исполнения Исполнителем своих обязательств по Сопровождаемому контракту (договору, проекту) и/или контрактам, заключенным в целях исполнения Сопровождаемого контракта (договора, проекта), путем направления в Банк уведомления от Клиента в свободной форме (письма) содержащего информацию об исполнении Клиентом своих обязательств с приложением согласия Заказчика на снятие режима Отдельного счета.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2.9.</w:t>
      </w:r>
      <w:r>
        <w:rPr>
          <w:rFonts w:eastAsia="Arial" w:cs="Arial" w:ascii="Arial" w:hAnsi="Arial"/>
        </w:rPr>
        <w:t xml:space="preserve"> </w:t>
      </w:r>
      <w:r>
        <w:rPr/>
        <w:t xml:space="preserve">Дополнительное соглашение, заключенное на основании Акцепта оферты, считается расторгнутым с момента получения Клиентом через СДБО «Клиент-Банк» или Систему «ГПБ Бизнес-Онлайн» уведомления от Банка о положительном результате рассмотрения уведомления об исполнении Клиентом своих обязательств. </w:t>
      </w:r>
    </w:p>
    <w:p>
      <w:pPr>
        <w:pStyle w:val="Normal"/>
        <w:pBdr>
          <w:top w:val="single" w:sz="4" w:space="1" w:color="000000"/>
          <w:left w:val="single" w:sz="4" w:space="3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>2.10.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принимает решение о положительном рассмотрении уведомления при одновременном соблюдении Клиентом следующих условий: </w:t>
      </w:r>
    </w:p>
    <w:p>
      <w:pPr>
        <w:pStyle w:val="ListParagraph"/>
        <w:numPr>
          <w:ilvl w:val="0"/>
          <w:numId w:val="12"/>
        </w:numPr>
        <w:pBdr>
          <w:top w:val="nil"/>
          <w:left w:val="single" w:sz="4" w:space="0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 xml:space="preserve">исполнение Клиентом всех обязательств по Сопровождаемому договору; </w:t>
      </w:r>
    </w:p>
    <w:p>
      <w:pPr>
        <w:pStyle w:val="ListParagraph"/>
        <w:numPr>
          <w:ilvl w:val="0"/>
          <w:numId w:val="12"/>
        </w:numPr>
        <w:pBdr>
          <w:top w:val="nil"/>
          <w:left w:val="single" w:sz="4" w:space="0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 xml:space="preserve">завершение Клиентом всех расчетов с контрагентами, привлекаемыми им для целей исполнения Сопровождаемого </w:t>
        <w:tab/>
        <w:t xml:space="preserve">договора, </w:t>
        <w:tab/>
        <w:t xml:space="preserve">с </w:t>
        <w:tab/>
        <w:t xml:space="preserve">приложением соответствующих Обосновывающих документов; </w:t>
      </w:r>
    </w:p>
    <w:p>
      <w:pPr>
        <w:pStyle w:val="ListParagraph"/>
        <w:numPr>
          <w:ilvl w:val="0"/>
          <w:numId w:val="12"/>
        </w:numPr>
        <w:pBdr>
          <w:top w:val="nil"/>
          <w:left w:val="single" w:sz="4" w:space="0" w:color="000000"/>
          <w:bottom w:val="nil"/>
          <w:right w:val="single" w:sz="4" w:space="0" w:color="000000"/>
        </w:pBdr>
        <w:ind w:left="0" w:right="106" w:firstLine="567"/>
        <w:rPr/>
      </w:pPr>
      <w:r>
        <w:rPr/>
        <w:t xml:space="preserve">получение Банком информации от Заказчика о завершении расчетов, осуществляемых в рамках Сопровождаемого договора и договоров, заключаемых в рамках исполнения Сопровождаемого договора и согласие на снятие режима Отдельного счета. </w:t>
      </w:r>
    </w:p>
    <w:p>
      <w:pPr>
        <w:pStyle w:val="Normal"/>
        <w:numPr>
          <w:ilvl w:val="1"/>
          <w:numId w:val="3"/>
        </w:numPr>
        <w:pBdr>
          <w:top w:val="nil"/>
          <w:left w:val="single" w:sz="4" w:space="0" w:color="000000"/>
          <w:bottom w:val="single" w:sz="4" w:space="0" w:color="000000"/>
          <w:right w:val="single" w:sz="4" w:space="0" w:color="000000"/>
        </w:pBdr>
        <w:ind w:left="0" w:right="106" w:firstLine="567"/>
        <w:rPr/>
      </w:pPr>
      <w:r>
        <w:rPr/>
        <w:t xml:space="preserve">Банк осуществляет экспертизу Заявки на перевод на основании Обосновывающих документов Клиента. </w:t>
      </w:r>
    </w:p>
    <w:p>
      <w:pPr>
        <w:pStyle w:val="Normal"/>
        <w:numPr>
          <w:ilvl w:val="1"/>
          <w:numId w:val="3"/>
        </w:numPr>
        <w:pBdr>
          <w:top w:val="nil"/>
          <w:left w:val="single" w:sz="4" w:space="0" w:color="000000"/>
          <w:bottom w:val="single" w:sz="4" w:space="0" w:color="000000"/>
          <w:right w:val="single" w:sz="4" w:space="0" w:color="000000"/>
        </w:pBdr>
        <w:ind w:left="0" w:right="106" w:firstLine="567"/>
        <w:rPr/>
      </w:pPr>
      <w:r>
        <w:rPr/>
        <w:t xml:space="preserve">Клиент соглашается, что Параметры банковского сопровождения указываются Банком в Приложении к настоящей Оферте. </w:t>
      </w:r>
    </w:p>
    <w:p>
      <w:pPr>
        <w:pStyle w:val="Normal"/>
        <w:numPr>
          <w:ilvl w:val="1"/>
          <w:numId w:val="3"/>
        </w:numPr>
        <w:pBdr>
          <w:top w:val="nil"/>
          <w:left w:val="single" w:sz="4" w:space="0" w:color="000000"/>
          <w:bottom w:val="single" w:sz="4" w:space="0" w:color="000000"/>
          <w:right w:val="single" w:sz="4" w:space="0" w:color="000000"/>
        </w:pBdr>
        <w:ind w:left="0" w:right="106" w:firstLine="567"/>
        <w:rPr/>
      </w:pPr>
      <w:r>
        <w:rPr/>
        <w:t xml:space="preserve">Клиент поручает Банку осуществлять Контроль целевого расходования денежных средств по Отдельному счету в соответствии с Параметрами банковского сопровождения, установленными в настоящей Оферте. </w:t>
      </w:r>
    </w:p>
    <w:p>
      <w:pPr>
        <w:pStyle w:val="Normal"/>
        <w:numPr>
          <w:ilvl w:val="1"/>
          <w:numId w:val="3"/>
        </w:numPr>
        <w:pBdr>
          <w:top w:val="nil"/>
          <w:left w:val="single" w:sz="4" w:space="0" w:color="000000"/>
          <w:bottom w:val="single" w:sz="4" w:space="0" w:color="000000"/>
          <w:right w:val="single" w:sz="4" w:space="0" w:color="000000"/>
        </w:pBdr>
        <w:ind w:left="0" w:right="106" w:firstLine="567"/>
        <w:rPr/>
      </w:pPr>
      <w:r>
        <w:rPr/>
        <w:t xml:space="preserve">Клиент соглашается, что по Отдельному счету могут осуществляться только операции, осуществляемые для целей исполнения Сопровождаемого контракта (договора, проекта). </w:t>
      </w:r>
    </w:p>
    <w:p>
      <w:pPr>
        <w:pStyle w:val="Normal"/>
        <w:numPr>
          <w:ilvl w:val="1"/>
          <w:numId w:val="3"/>
        </w:numPr>
        <w:pBdr>
          <w:top w:val="nil"/>
          <w:left w:val="single" w:sz="4" w:space="0" w:color="000000"/>
          <w:bottom w:val="single" w:sz="4" w:space="0" w:color="000000"/>
          <w:right w:val="single" w:sz="4" w:space="0" w:color="000000"/>
        </w:pBdr>
        <w:ind w:left="0" w:right="106" w:firstLine="567"/>
        <w:rPr/>
      </w:pPr>
      <w:r>
        <w:rPr/>
        <w:t xml:space="preserve">Стороны соглашаются, что Банк не уплачивает Клиенту проценты на остаток денежных средств, находящийся на Отдельных счетах, не заключает договоры банковского вклада.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По Отдельному счету не допускается размещение временно свободных денежных средств в форме минимального неснижаемого остатка.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Стороны соглашаются, что режим Отдельного счета допускает расходование денежных средств на уплату комиссионного вознаграждения Банку в соответствии с Тарифами Банка, погашение кредитов, привлекаемых Клиентом согласно отношениям, связанным с исполнением Сопровождаемого контракта (договора, проекта), включая оплату </w:t>
      </w:r>
    </w:p>
    <w:p>
      <w:pPr>
        <w:pStyle w:val="Normal"/>
        <w:ind w:left="0" w:right="106" w:firstLine="567"/>
        <w:rPr/>
      </w:pPr>
      <w:r>
        <w:rPr/>
        <w:t xml:space="preserve">процентов по таким кредитам (без штрафов, пени и неустоек), расходов, связанных с выдачей банковских гарантий (без штрафов, пени и неустоек) и/или приобретением страхового полиса, если выдача банковской гарантии (страхового полиса) предусмотрена условиями договоров, заключаемых Клиентом согласно отношениям, связанным с исполнением Сопровождаемого контракта (договора, проекта).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Банк не несет ответственности за действия и/или бездействие Клиента, связанные с проведением Клиентом расчетов во исполнение Сопровождаемого договора без использования Отдельного счета.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Банк вправе запрашивать у Клиента иные документы и информацию, необходимые для осуществления Контроля за целевым расходованием денежных средств.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Клиент выражает согласие на предоставление Банком информации по Отдельному счету Клиента, составляющей банковскую тайну Клиента, включая результаты Контроля за целевым расходованием денежных средств и Обосновывающие документы Заказчику и уполномочивает Банк предоставлять Заказчику указанную информацию. </w:t>
      </w:r>
    </w:p>
    <w:p>
      <w:pPr>
        <w:pStyle w:val="Normal"/>
        <w:numPr>
          <w:ilvl w:val="1"/>
          <w:numId w:val="3"/>
        </w:numPr>
        <w:ind w:left="0" w:right="106" w:firstLine="567"/>
        <w:rPr/>
      </w:pPr>
      <w:r>
        <w:rPr/>
        <w:t xml:space="preserve">Банк обязан: </w:t>
      </w:r>
    </w:p>
    <w:p>
      <w:pPr>
        <w:pStyle w:val="Normal"/>
        <w:numPr>
          <w:ilvl w:val="2"/>
          <w:numId w:val="2"/>
        </w:numPr>
        <w:ind w:left="0" w:right="106" w:firstLine="567"/>
        <w:rPr/>
      </w:pPr>
      <w:r>
        <w:rPr/>
        <w:t xml:space="preserve">Осуществлять Контроль целевого расходования денежных средств по Сопровождаемому контракту (договору, проекту)/договорам, заключенным в целях исполнения Сопровождаемого контракта (договора, проекта) в порядке, установленном настоящей Офертой. </w:t>
      </w:r>
    </w:p>
    <w:p>
      <w:pPr>
        <w:pStyle w:val="Normal"/>
        <w:numPr>
          <w:ilvl w:val="2"/>
          <w:numId w:val="2"/>
        </w:numPr>
        <w:ind w:left="0" w:right="106" w:firstLine="567"/>
        <w:rPr/>
      </w:pPr>
      <w:r>
        <w:rPr/>
        <w:t xml:space="preserve">Отказывать Клиенту в приеме Заявок на перевод в случаях, установленных договором банковского счета и Офертой. </w:t>
      </w:r>
    </w:p>
    <w:p>
      <w:pPr>
        <w:pStyle w:val="Normal"/>
        <w:numPr>
          <w:ilvl w:val="2"/>
          <w:numId w:val="2"/>
        </w:numPr>
        <w:ind w:left="0" w:right="106" w:firstLine="567"/>
        <w:rPr/>
      </w:pPr>
      <w:r>
        <w:rPr/>
        <w:t xml:space="preserve">Осуществлять контроль за соблюдением Клиентом Параметров банковского сопровождения. </w:t>
      </w:r>
    </w:p>
    <w:p>
      <w:pPr>
        <w:pStyle w:val="Normal"/>
        <w:numPr>
          <w:ilvl w:val="2"/>
          <w:numId w:val="2"/>
        </w:numPr>
        <w:ind w:left="0" w:right="106" w:firstLine="567"/>
        <w:rPr/>
      </w:pPr>
      <w:r>
        <w:rPr/>
        <w:t xml:space="preserve">Исполнять иные обязанности, установленные настоящей Офертой. </w:t>
      </w:r>
    </w:p>
    <w:p>
      <w:pPr>
        <w:pStyle w:val="Normal"/>
        <w:ind w:left="0" w:right="106" w:firstLine="567"/>
        <w:rPr/>
      </w:pPr>
      <w:r>
        <w:rPr/>
        <w:t>2.22.</w:t>
      </w:r>
      <w:r>
        <w:rPr>
          <w:rFonts w:eastAsia="Arial" w:cs="Arial" w:ascii="Arial" w:hAnsi="Arial"/>
        </w:rPr>
        <w:t xml:space="preserve"> </w:t>
      </w:r>
      <w:r>
        <w:rPr/>
        <w:t xml:space="preserve">Клиент обязан: </w:t>
      </w:r>
    </w:p>
    <w:p>
      <w:pPr>
        <w:pStyle w:val="Normal"/>
        <w:numPr>
          <w:ilvl w:val="2"/>
          <w:numId w:val="4"/>
        </w:numPr>
        <w:ind w:left="0" w:right="106" w:firstLine="567"/>
        <w:rPr/>
      </w:pPr>
      <w:r>
        <w:rPr/>
        <w:t xml:space="preserve">Заключить с Банком соглашение о предоставлении услуг электронного документооборота (СДБО «Клиент-Банк»), если такое соглашение не заключено Сторонами. </w:t>
      </w:r>
    </w:p>
    <w:p>
      <w:pPr>
        <w:pStyle w:val="Normal"/>
        <w:numPr>
          <w:ilvl w:val="2"/>
          <w:numId w:val="4"/>
        </w:numPr>
        <w:ind w:left="0" w:right="106" w:firstLine="567"/>
        <w:rPr/>
      </w:pPr>
      <w:r>
        <w:rPr/>
        <w:t xml:space="preserve">Требовать от Исполнителей, являющихся контрагентами Клиента в рамках отношений, связанных с реализацией Сопровождаемого контракта (договора, проекта), открывать Отдельные банковские счета в Банке для осуществления расчетов, связанных с реализацией Сопровождаемого контракта (договора, проекта). </w:t>
      </w:r>
    </w:p>
    <w:p>
      <w:pPr>
        <w:pStyle w:val="Normal"/>
        <w:numPr>
          <w:ilvl w:val="2"/>
          <w:numId w:val="4"/>
        </w:numPr>
        <w:ind w:left="0" w:right="106" w:firstLine="567"/>
        <w:rPr/>
      </w:pPr>
      <w:r>
        <w:rPr/>
        <w:t xml:space="preserve">Указывать в предмете договоров, заключаемых во исполнение Сопровождаемого контракта (договора, проекта) с Клиентом, ссылку на Сопровождаемый договор. </w:t>
      </w:r>
    </w:p>
    <w:p>
      <w:pPr>
        <w:pStyle w:val="Normal"/>
        <w:numPr>
          <w:ilvl w:val="2"/>
          <w:numId w:val="4"/>
        </w:numPr>
        <w:ind w:left="0" w:right="106" w:firstLine="567"/>
        <w:rPr/>
      </w:pPr>
      <w:r>
        <w:rPr/>
        <w:t xml:space="preserve">Соблюдать условия Параметров банковского сопровождения. </w:t>
      </w:r>
    </w:p>
    <w:p>
      <w:pPr>
        <w:pStyle w:val="Normal"/>
        <w:numPr>
          <w:ilvl w:val="2"/>
          <w:numId w:val="4"/>
        </w:numPr>
        <w:spacing w:before="0" w:after="140"/>
        <w:ind w:left="0" w:right="106" w:firstLine="567"/>
        <w:rPr/>
      </w:pPr>
      <w:r>
        <w:rPr/>
        <w:t xml:space="preserve">Исполнять иные обязанности, установленные настоящей Офертой. </w:t>
      </w:r>
    </w:p>
    <w:p>
      <w:pPr>
        <w:pStyle w:val="Heading1"/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tabs>
          <w:tab w:val="clear" w:pos="708"/>
          <w:tab w:val="center" w:pos="5134" w:leader="none"/>
        </w:tabs>
        <w:spacing w:before="0" w:after="126"/>
        <w:ind w:left="0" w:right="106" w:firstLine="567"/>
        <w:jc w:val="left"/>
        <w:rPr/>
      </w:pPr>
      <w:r>
        <w:rPr/>
        <w:t>3.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Порядок приема Заявки на перевод и контроля Обосновывающих документов </w:t>
      </w:r>
    </w:p>
    <w:p>
      <w:pPr>
        <w:pStyle w:val="Normal"/>
        <w:ind w:left="0" w:right="106" w:firstLine="567"/>
        <w:rPr/>
      </w:pPr>
      <w:r>
        <w:rPr/>
        <w:t>3.1.</w:t>
      </w:r>
      <w:r>
        <w:rPr>
          <w:rFonts w:eastAsia="Arial" w:cs="Arial" w:ascii="Arial" w:hAnsi="Arial"/>
        </w:rPr>
        <w:t xml:space="preserve"> </w:t>
      </w:r>
      <w:r>
        <w:rPr/>
        <w:t xml:space="preserve">Заявки на перевод представляются в Банк с использованием СДБО «Клиент-Банк». В целях исключения различного толкования под датой получения Банком Обосновывающих документов и Заявки на перевод понимается дата, в которую Банком получен полный комплект документов для проведения процедуры контроля соблюдения Клиентом целевого расходования денежных средств для целей надлежащего исполнения обязательств по Сопровождаемому контракту (договору, проекту) и/или договорам, заключенным во исполнение Сопровождаемого контракта (договора, проекта), который включает Обосновывающие документы и Заявку на перевод. </w:t>
      </w:r>
    </w:p>
    <w:p>
      <w:pPr>
        <w:pStyle w:val="Normal"/>
        <w:ind w:left="0" w:right="106" w:firstLine="567"/>
        <w:rPr/>
      </w:pPr>
      <w:r>
        <w:rPr/>
        <w:t>3.2.</w:t>
      </w:r>
      <w:r>
        <w:rPr>
          <w:rFonts w:eastAsia="Arial" w:cs="Arial" w:ascii="Arial" w:hAnsi="Arial"/>
        </w:rPr>
        <w:t xml:space="preserve"> </w:t>
      </w:r>
      <w:r>
        <w:rPr/>
        <w:t xml:space="preserve">Обосновывающие документы передаются в Банк в электронном виде (в виде сканированных образов оригиналов документов) через Личный кабинет в дату направления Заявки на перевод. </w:t>
      </w:r>
    </w:p>
    <w:p>
      <w:pPr>
        <w:pStyle w:val="Normal"/>
        <w:ind w:left="0" w:right="106" w:firstLine="567"/>
        <w:rPr/>
      </w:pPr>
      <w:r>
        <w:rPr/>
        <w:t>3.3.</w:t>
      </w:r>
      <w:r>
        <w:rPr>
          <w:rFonts w:eastAsia="Arial" w:cs="Arial" w:ascii="Arial" w:hAnsi="Arial"/>
        </w:rPr>
        <w:t xml:space="preserve"> </w:t>
      </w:r>
      <w:r>
        <w:rPr/>
        <w:t xml:space="preserve">Ответственность за соответствие копий (сканированных образов) документов оригиналам несет Клиент. </w:t>
      </w:r>
    </w:p>
    <w:p>
      <w:pPr>
        <w:pStyle w:val="Normal"/>
        <w:ind w:left="0" w:right="106" w:firstLine="567"/>
        <w:rPr/>
      </w:pPr>
      <w:r>
        <w:rPr/>
        <w:t>3.4.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предоставляет Клиенту логин и пароль для доступа к Личному кабинету путем направления соответствующего уведомления посредством СДБО «Клиент-Банк» или по адресу электронной почты и номеру мобильного телефона, указанным в Акцепте оферты. </w:t>
      </w:r>
    </w:p>
    <w:p>
      <w:pPr>
        <w:pStyle w:val="Normal"/>
        <w:ind w:left="0" w:right="106" w:firstLine="567"/>
        <w:rPr/>
      </w:pPr>
      <w:r>
        <w:rPr/>
        <w:t>3.5.</w:t>
      </w:r>
      <w:r>
        <w:rPr>
          <w:rFonts w:eastAsia="Arial" w:cs="Arial" w:ascii="Arial" w:hAnsi="Arial"/>
        </w:rPr>
        <w:t xml:space="preserve"> </w:t>
      </w:r>
      <w:r>
        <w:rPr/>
        <w:t>Банк имеет право запросить у Клиента, и Клиент обязан предоставить Банку пояснения по Заявкам на перевод и Обосновывающим документам, дополнительные справки и отчеты, а также подтверждение правомерности отнесения расходов (части расходов) на расходы, осуществляемые в рамках Сопровождаемого контракта (договора, проекта). Данное требование распространяется на любые переводы денежных средств по Отдельному счету (включая переводы денежных средств в бюджет Российской Федерации), кроме переводов денежных средств на основании распоряжений взыскателей средств, выставляемых к Отдельному счету в соответствии с законодательством Российской Федерации.</w:t>
      </w:r>
      <w:r>
        <w:rPr>
          <w:i/>
        </w:rPr>
        <w:t xml:space="preserve"> </w:t>
      </w:r>
    </w:p>
    <w:p>
      <w:pPr>
        <w:pStyle w:val="Normal"/>
        <w:ind w:left="0" w:right="106" w:firstLine="567"/>
        <w:rPr/>
      </w:pPr>
      <w:r>
        <w:rPr/>
        <w:t>3.6.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проводит экспертизу Заявки на перевод и Обосновывающих документов на предмет их соответствия условиям, предмету и целям Сопровождаемого контракта (договора, проекта) или (в зависимости от случая) любого иного договора, заключенного Клиентом, в рамках или для целей исполнения Сопровождаемого контракта (договора, проекта), в части объемов и видов работ, а также соответствия Параметрам банковского сопровождения в срок не позднее 3 (трех) рабочих дней с даты их получения от Клиента. </w:t>
      </w:r>
    </w:p>
    <w:p>
      <w:pPr>
        <w:pStyle w:val="Normal"/>
        <w:ind w:left="0" w:right="106" w:firstLine="567"/>
        <w:rPr/>
      </w:pPr>
      <w:r>
        <w:rPr/>
        <w:t>3.7.</w:t>
      </w:r>
      <w:r>
        <w:rPr>
          <w:rFonts w:eastAsia="Arial" w:cs="Arial" w:ascii="Arial" w:hAnsi="Arial"/>
        </w:rPr>
        <w:t xml:space="preserve"> </w:t>
      </w:r>
      <w:r>
        <w:rPr/>
        <w:t xml:space="preserve">По результатам экспертизы Заявки на перевод и Обосновывающих документов, представленных Клиентом, Банк: </w:t>
      </w:r>
    </w:p>
    <w:p>
      <w:pPr>
        <w:pStyle w:val="Normal"/>
        <w:ind w:left="0" w:right="106" w:firstLine="567"/>
        <w:rPr/>
      </w:pPr>
      <w:r>
        <w:rPr/>
        <w:t>3.7.1.</w:t>
      </w:r>
      <w:r>
        <w:rPr>
          <w:rFonts w:eastAsia="Arial" w:cs="Arial" w:ascii="Arial" w:hAnsi="Arial"/>
        </w:rPr>
        <w:t xml:space="preserve"> </w:t>
      </w:r>
      <w:r>
        <w:rPr/>
        <w:t xml:space="preserve">Согласовывает (акцептует) Заявку на перевод Клиента – при отсутствии замечаний к Заявке на перевод и Обосновывающим документам и принимает Распоряжение на перевод денежных средств к исполнению. </w:t>
      </w:r>
    </w:p>
    <w:p>
      <w:pPr>
        <w:pStyle w:val="Normal"/>
        <w:ind w:left="0" w:right="106" w:firstLine="567"/>
        <w:rPr/>
      </w:pPr>
      <w:r>
        <w:rPr/>
        <w:t>3.7.2.</w:t>
      </w:r>
      <w:r>
        <w:rPr>
          <w:rFonts w:eastAsia="Arial" w:cs="Arial" w:ascii="Arial" w:hAnsi="Arial"/>
        </w:rPr>
        <w:t xml:space="preserve"> </w:t>
      </w:r>
      <w:r>
        <w:rPr/>
        <w:t xml:space="preserve">Не согласовывает (не акцептует) Заявку на перевод при наличии замечаний к Заявке на перевод и/или Обосновывающим документам и отказывает Клиенту в приеме Распоряжения на перевод к исполнению с указанием причины несогласования. </w:t>
      </w:r>
    </w:p>
    <w:p>
      <w:pPr>
        <w:pStyle w:val="Normal"/>
        <w:ind w:left="0" w:right="106" w:firstLine="567"/>
        <w:rPr/>
      </w:pPr>
      <w:r>
        <w:rPr/>
        <w:t>3.8.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отказывает Клиенту в согласовании Заявок на перевод по Отдельному счету в случае отрицательных результатов процедуры контроля Банком соблюдения Клиентом условий целевого расходования денежных средств с Отдельного счета, предусмотренных настоящим Договором. </w:t>
      </w:r>
    </w:p>
    <w:p>
      <w:pPr>
        <w:pStyle w:val="Normal"/>
        <w:ind w:left="0" w:right="106" w:firstLine="567"/>
        <w:rPr/>
      </w:pPr>
      <w:r>
        <w:rPr/>
        <w:t>3.9.</w:t>
      </w:r>
      <w:r>
        <w:rPr>
          <w:rFonts w:eastAsia="Arial" w:cs="Arial" w:ascii="Arial" w:hAnsi="Arial"/>
        </w:rPr>
        <w:t xml:space="preserve"> </w:t>
      </w:r>
      <w:r>
        <w:rPr/>
        <w:t xml:space="preserve">Отрицательными результатами контроля соблюдения Исполнителем целевого расходования денежных средств являются: </w:t>
      </w:r>
    </w:p>
    <w:p>
      <w:pPr>
        <w:pStyle w:val="Normal"/>
        <w:ind w:left="0" w:right="106" w:firstLine="567"/>
        <w:rPr/>
      </w:pPr>
      <w:r>
        <w:rPr/>
        <w:t>3.9.1.</w:t>
      </w:r>
      <w:r>
        <w:rPr>
          <w:rFonts w:eastAsia="Arial" w:cs="Arial" w:ascii="Arial" w:hAnsi="Arial"/>
        </w:rPr>
        <w:t xml:space="preserve"> </w:t>
      </w:r>
      <w:r>
        <w:rPr/>
        <w:t xml:space="preserve">Непредставление и/или неполное представление Банку Заявки на перевод, Обосновывающих документов, а также Реестра планируемых переводов. </w:t>
      </w:r>
    </w:p>
    <w:p>
      <w:pPr>
        <w:pStyle w:val="Normal"/>
        <w:ind w:left="0" w:right="106" w:firstLine="567"/>
        <w:rPr/>
      </w:pPr>
      <w:r>
        <w:rPr/>
        <w:t>3.9.2.</w:t>
      </w:r>
      <w:r>
        <w:rPr>
          <w:rFonts w:eastAsia="Arial" w:cs="Arial" w:ascii="Arial" w:hAnsi="Arial"/>
        </w:rPr>
        <w:t xml:space="preserve"> </w:t>
      </w:r>
      <w:r>
        <w:rPr/>
        <w:t xml:space="preserve">Превышение суммы Заявки на перевод (размера платежа), в том числе с учетом ранее исполненных Банком Распоряжений на перевод Клиента, над суммой договора, по которому планируется проведение расчетов и/или суммой счета на оплату аванса или выполненных (поставленных) работ (товаров, услуг) и/или иных Обосновывающих документов (включая ведомости оплаты труда). </w:t>
      </w:r>
    </w:p>
    <w:p>
      <w:pPr>
        <w:pStyle w:val="Normal"/>
        <w:ind w:left="0" w:right="106" w:firstLine="567"/>
        <w:rPr/>
      </w:pPr>
      <w:r>
        <w:rPr/>
        <w:t>3.9.3.</w:t>
      </w:r>
      <w:r>
        <w:rPr>
          <w:rFonts w:eastAsia="Arial" w:cs="Arial" w:ascii="Arial" w:hAnsi="Arial"/>
        </w:rPr>
        <w:t xml:space="preserve"> </w:t>
      </w:r>
      <w:r>
        <w:rPr/>
        <w:t xml:space="preserve">Несоответствие оплачиваемых работ/услуг, приобретаемых материалов и оборудования (с учетом информации, указанной Исполнителем в Обосновывающих документах) целям Сопровождаемого контракта (договора, проекта), в том числе договорам (контрактам), актам и иной предоставленной Банку документации, содержащей информацию о приобретаемых материалах, оборудовании, услугах. </w:t>
      </w:r>
    </w:p>
    <w:p>
      <w:pPr>
        <w:pStyle w:val="Normal"/>
        <w:ind w:left="0" w:right="106" w:firstLine="567"/>
        <w:rPr/>
      </w:pPr>
      <w:r>
        <w:rPr/>
        <w:t>3.9.4.</w:t>
      </w:r>
      <w:r>
        <w:rPr>
          <w:rFonts w:eastAsia="Arial" w:cs="Arial" w:ascii="Arial" w:hAnsi="Arial"/>
        </w:rPr>
        <w:t xml:space="preserve"> </w:t>
      </w:r>
      <w:r>
        <w:rPr/>
        <w:t xml:space="preserve">Отсутствие Заявки на перевод в Реестре планируемых переводов, направленном посредством СДБО «Клиент-Банк» и/или электронной почты ответственному сотруднику Банка в виде сканированного образа документа, за подписью и печатью Заказчика.  </w:t>
      </w:r>
    </w:p>
    <w:p>
      <w:pPr>
        <w:pStyle w:val="Normal"/>
        <w:tabs>
          <w:tab w:val="clear" w:pos="708"/>
          <w:tab w:val="center" w:pos="4184" w:leader="none"/>
        </w:tabs>
        <w:ind w:left="0" w:right="106" w:firstLine="567"/>
        <w:rPr/>
      </w:pPr>
      <w:r>
        <w:rPr/>
        <w:t>3.9.5.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Несоответствие Заявки на перевод режиму Отдельного счета. </w:t>
      </w:r>
    </w:p>
    <w:p>
      <w:pPr>
        <w:pStyle w:val="Normal"/>
        <w:ind w:left="0" w:right="106" w:firstLine="567"/>
        <w:rPr/>
      </w:pPr>
      <w:r>
        <w:rPr/>
        <w:t>3.10.</w:t>
      </w:r>
      <w:r>
        <w:rPr>
          <w:rFonts w:eastAsia="Arial" w:cs="Arial" w:ascii="Arial" w:hAnsi="Arial"/>
        </w:rPr>
        <w:t xml:space="preserve"> </w:t>
      </w:r>
      <w:r>
        <w:rPr/>
        <w:t xml:space="preserve">При наличии затруднений в определении целевого характера расходования денежных средств с Отдельного счета Клиента Банк направляет запрос Заказчику о возможности согласования планируемого перевода. В этом случае срок согласования Банком Заявки на перевод увеличивается на время такого согласования. </w:t>
      </w:r>
      <w:r>
        <w:rPr>
          <w:sz w:val="20"/>
        </w:rPr>
        <w:t xml:space="preserve"> </w:t>
      </w:r>
    </w:p>
    <w:p>
      <w:pPr>
        <w:pStyle w:val="Normal"/>
        <w:ind w:left="0" w:right="106" w:firstLine="567"/>
        <w:rPr/>
      </w:pPr>
      <w:r>
        <w:rPr/>
        <w:t>Отказ Заказчика в согласовании планируемого перевода в любом случае является безусловным основанием для Банка в отказе от проведения планируемого перевода. До получения ответа о согласовании или о несогласовании планируемого перевода от Заказчика Банк не несет ответственность за возможные последствия просрочки совершения платежа. В случае неполучения ответа от Заказчика или получения ответа Заказчика, не содержащего согласование или несогласование планируемого перевода, планируемый перевод считается не согласованным Заказчиком и Банк не несет ответственность за возможные последствия отказа в приеме Распоряжения на перевод.</w:t>
      </w:r>
      <w:r>
        <w:rPr>
          <w:i/>
        </w:rPr>
        <w:t xml:space="preserve"> </w:t>
      </w:r>
    </w:p>
    <w:p>
      <w:pPr>
        <w:pStyle w:val="Normal"/>
        <w:ind w:left="0" w:right="106" w:firstLine="567"/>
        <w:rPr/>
      </w:pPr>
      <w:r>
        <w:rPr/>
        <w:t>3.11.</w:t>
      </w:r>
      <w:r>
        <w:rPr>
          <w:rFonts w:eastAsia="Arial" w:cs="Arial" w:ascii="Arial" w:hAnsi="Arial"/>
        </w:rPr>
        <w:t xml:space="preserve"> </w:t>
      </w:r>
      <w:r>
        <w:rPr/>
        <w:t xml:space="preserve">Банк информирует Клиента о согласовании/несогласовании соответствующих Заявок на перевод не позднее рабочего дня, следующего за днем их получения от Клиента (не считая дату получения), с обоснованием причины несогласования (при наличии несогласованных планируемых переводов), в том числе с указанием непредставленных для согласования документов, с использованием СДБО «Клиент-Банк». </w:t>
      </w:r>
    </w:p>
    <w:p>
      <w:pPr>
        <w:pStyle w:val="Normal"/>
        <w:spacing w:before="0" w:after="147"/>
        <w:ind w:left="0" w:right="106" w:firstLine="567"/>
        <w:rPr/>
      </w:pPr>
      <w:r>
        <w:rPr/>
        <w:t>3.12.</w:t>
      </w:r>
      <w:r>
        <w:rPr>
          <w:rFonts w:eastAsia="Arial" w:cs="Arial" w:ascii="Arial" w:hAnsi="Arial"/>
        </w:rPr>
        <w:t xml:space="preserve"> </w:t>
      </w:r>
      <w:r>
        <w:rPr/>
        <w:t xml:space="preserve">Стороны соглашаются, что Банк не проводит мероприятия в отношении проверки реального факта поставки товаров (выполнения работ, оказания услуг) при реализации Сопровождаемого контракта (договора, проекта), а также не проводит экспертизу подлинности предоставляемых Обосновывающих документов. </w:t>
      </w:r>
    </w:p>
    <w:p>
      <w:pPr>
        <w:pStyle w:val="Heading1"/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tabs>
          <w:tab w:val="clear" w:pos="708"/>
          <w:tab w:val="center" w:pos="5136" w:leader="none"/>
        </w:tabs>
        <w:spacing w:before="0" w:after="130"/>
        <w:ind w:left="0" w:right="106" w:firstLine="567"/>
        <w:rPr/>
      </w:pPr>
      <w:r>
        <w:rPr/>
        <w:t>4.</w:t>
      </w:r>
      <w:r>
        <w:rPr>
          <w:rFonts w:eastAsia="Arial" w:cs="Arial" w:ascii="Arial" w:hAnsi="Arial"/>
        </w:rPr>
        <w:t xml:space="preserve"> </w:t>
      </w:r>
      <w:r>
        <w:rPr/>
        <w:t xml:space="preserve">Приложение </w:t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0" w:right="106" w:firstLine="567"/>
        <w:rPr>
          <w:b/>
          <w:sz w:val="20"/>
        </w:rPr>
      </w:pPr>
      <w:r>
        <w:rPr/>
        <w:t>4.1.</w:t>
      </w:r>
      <w:r>
        <w:rPr>
          <w:rFonts w:eastAsia="Arial" w:cs="Arial" w:ascii="Arial" w:hAnsi="Arial"/>
        </w:rPr>
        <w:t xml:space="preserve"> </w:t>
        <w:tab/>
      </w:r>
      <w:r>
        <w:rPr/>
        <w:t>Приложение. Параметры банковского сопровождения.</w:t>
      </w:r>
      <w:r>
        <w:rPr>
          <w:b/>
          <w:sz w:val="20"/>
        </w:rPr>
        <w:t xml:space="preserve"> </w:t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tabs>
          <w:tab w:val="clear" w:pos="708"/>
          <w:tab w:val="center" w:pos="3655" w:leader="none"/>
        </w:tabs>
        <w:spacing w:before="0" w:after="266"/>
        <w:ind w:left="153" w:right="106" w:hanging="0"/>
        <w:rPr>
          <w:b/>
          <w:sz w:val="20"/>
        </w:rPr>
      </w:pPr>
      <w:r>
        <w:rPr>
          <w:b/>
          <w:sz w:val="20"/>
        </w:rPr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2116" w:right="0" w:hanging="0"/>
        <w:jc w:val="center"/>
        <w:rPr/>
      </w:pPr>
      <w:r>
        <w:rPr>
          <w:rFonts w:eastAsia="Calibri" w:cs="Calibri" w:ascii="Calibri" w:hAnsi="Calibri"/>
        </w:rPr>
        <w:t xml:space="preserve"> </w:t>
      </w:r>
      <w:r>
        <w:rPr>
          <w:rFonts w:eastAsia="Calibri" w:cs="Calibri" w:ascii="Calibri" w:hAnsi="Calibri"/>
        </w:rPr>
        <w:tab/>
        <w:t xml:space="preserve"> </w:t>
      </w:r>
      <w:r>
        <w:br w:type="page"/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64" w:before="0" w:after="210"/>
        <w:ind w:left="40" w:right="0" w:hanging="10"/>
        <w:jc w:val="center"/>
        <w:rPr/>
      </w:pPr>
      <w:r>
        <w:rPr>
          <w:sz w:val="20"/>
        </w:rPr>
        <w:t xml:space="preserve">7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13"/>
        <w:ind w:left="5529" w:right="6" w:hanging="10"/>
        <w:rPr>
          <w:b/>
        </w:rPr>
      </w:pPr>
      <w:r>
        <w:rPr>
          <w:b/>
        </w:rPr>
        <w:t xml:space="preserve">Приложение 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13"/>
        <w:ind w:left="5529" w:right="6" w:hanging="10"/>
        <w:rPr/>
      </w:pPr>
      <w:r>
        <w:rPr/>
        <w:t xml:space="preserve">к Оферте Банка ГПБ (АО) к договору банковского счета между Банком ГПБ (АО) и клиентом – юридическим лицом – некредитной </w:t>
        <w:tab/>
        <w:t xml:space="preserve">организацией, индивидуальным предпринимателем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91" w:right="0" w:hanging="0"/>
        <w:jc w:val="center"/>
        <w:rPr/>
      </w:pPr>
      <w:r>
        <w:rPr/>
        <w:t xml:space="preserve"> </w:t>
      </w:r>
    </w:p>
    <w:p>
      <w:pPr>
        <w:pStyle w:val="Heading1"/>
        <w:spacing w:before="0" w:after="0"/>
        <w:ind w:left="0" w:right="356" w:firstLine="567"/>
        <w:rPr/>
      </w:pPr>
      <w:r>
        <w:rPr/>
        <w:t>ПАРАМЕТРЫ БАНКОВСКОГО СОПРОВОЖДЕНИЯ*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0" w:right="0" w:firstLine="567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66"/>
        <w:ind w:left="0" w:right="14" w:firstLine="567"/>
        <w:rPr/>
      </w:pPr>
      <w:r>
        <w:rPr/>
        <w:t xml:space="preserve">Договор об оказании услуги банковского сопровождения / ИСД № 0038001.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98"/>
        <w:ind w:left="0" w:right="14" w:firstLine="567"/>
        <w:rPr/>
      </w:pPr>
      <w:r>
        <w:rPr/>
        <w:t xml:space="preserve">Сопровождаемый контракт - Договор об осуществлении технологического присоединения к электрическим сетям №114/28/0061/25 от 09.04.2025г. </w:t>
      </w:r>
    </w:p>
    <w:p>
      <w:pPr>
        <w:pStyle w:val="Heading1"/>
        <w:tabs>
          <w:tab w:val="clear" w:pos="708"/>
          <w:tab w:val="center" w:pos="1489" w:leader="none"/>
          <w:tab w:val="center" w:pos="5135" w:leader="none"/>
        </w:tabs>
        <w:spacing w:before="0" w:after="99"/>
        <w:ind w:left="0" w:right="113" w:firstLine="567"/>
        <w:jc w:val="both"/>
        <w:rPr/>
      </w:pPr>
      <w:r>
        <w:rPr>
          <w:rFonts w:eastAsia="Calibri" w:cs="Calibri" w:ascii="Calibri" w:hAnsi="Calibri"/>
          <w:b w:val="false"/>
          <w:sz w:val="22"/>
        </w:rPr>
        <w:tab/>
      </w:r>
      <w:r>
        <w:rPr/>
        <w:t>1.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ИСПОЛНИТЕЛИ СОПРОВОЖДАЕМОГО КОНТРАКТА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67"/>
        <w:ind w:left="0" w:right="14" w:firstLine="567"/>
        <w:rPr/>
      </w:pPr>
      <w:r>
        <w:rPr/>
        <w:t xml:space="preserve">Исполнителями, которым необходимо открывать Отдельные счета, являются подрядчики, поставщики, а также иные лица, привлекаемые для исполнения/реализации Сопровождаемого контракта, выполняющие работы, поставляющие товары, оказывающие услуги в целом по Сопровождаемому контакту, включая расчеты со своими контрагентами.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212"/>
        <w:ind w:left="0" w:right="14" w:firstLine="567"/>
        <w:rPr/>
      </w:pPr>
      <w:r>
        <w:rPr/>
        <w:t xml:space="preserve">Из перечня Исполнителей, которым необходимо открывать Отдельные счета, исключаются следующие лица (за исключением аффилированных лиц):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физические лица, получающие от Исполнителей вознаграждение за выполнение своих обязанностей по трудовым договорам, договорам гражданско-правового характера, а также возмещение командировочных и представительских расходов;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арендодатели (лизингодатели) имущества, являющегося их собственностью, используемого Исполнителями исключительно в целях реализации Сопровождаемого контракта;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страховщики, оказывающие Исполнителям услуги страхования имущественных интересов, связанных с реализацией Сопровождаемого контракта;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кредиторы Исполнителей, требования которых подтверждены выданными документами о принудительном исполнении вступивших в законную силу судебных актов;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государственные и муниципальные органы и учреждения;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налоговые органы;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Социальный фонд Российской Федерации, Федеральный фонд обязательного медицинского страхования, а также их территориальные органы;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субъекты естественной монополии;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непосредственные производители материалов, сырья, конструкций, оборудования, техники, необходимых для реализации Сопровождаемого контракта, а также официальные дилеры производителей, официальные дистрибьюторы и торговые дома производителей при оплате соответствующих материалов, сырья, конструкций, оборудования, техники; </w:t>
      </w:r>
    </w:p>
    <w:p>
      <w:pPr>
        <w:pStyle w:val="Normal"/>
        <w:numPr>
          <w:ilvl w:val="0"/>
          <w:numId w:val="9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непосредственные поставщики услуг и товаров, относящихся к накладным расходам: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проезду и проживанию, а также услуги по организации проезда и проживания работников Исполнителей в служебных командировках, а также при производстве работ вахтовым методом;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перевозке работников Исполнителей для целей реализации Сопровождаемого контракта;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lineRule="auto" w:line="259" w:before="0" w:after="113"/>
        <w:ind w:left="0" w:right="14" w:firstLine="567"/>
        <w:rPr/>
      </w:pPr>
      <w:r>
        <w:rPr/>
        <w:t xml:space="preserve">услуги связи, в том числе обеспечение мобильной связью, мобильным и стационарным </w:t>
      </w:r>
    </w:p>
    <w:p>
      <w:pPr>
        <w:pStyle w:val="ListParagraph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доступом в интернет, почтово-телеграфные услуги, в том числе услуги по экспрессдоставке корреспонденции;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обслуживанию офисной техники и поставке расходных материалов для офисной техники;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поставке, сопровождению и поверке геодезического, лабораторного оборудования;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оказанию информационно-аналитического обеспечения (приобретение и обновление программного обеспечения, баз данных, техническая поддержка приобретенного программного обеспечения); 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охранные услуги; 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(работы) специализированных организаций (лабораторий) по осуществлению контроля качества и проведению испытаний на Объекте строительства, осуществлению экологического мониторинга;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уборки (клининга), в том числе вывоз бытового мусора и снега;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по охране труда и обеспечению техники безопасности, в том числе по обеспечению спецодеждой;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услуги аудиторов, нотариусов;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поставка топлива и иных горюче-смазочных материалов, при условии предоставления в Банк информации о цепочке поставки топлива до конечного производителя (товарной биржи);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поставка канцтоваров, питьевой воды, хозяйственных товаров;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кредитные организации – при погашении кредитов, предоставленных для выполнения работ, приобретения конструкций, оборудования, техники, необходимых для реализации Сопровождаемого контракта, а также при оплате стоимости банковских гарантий, выданных в связи с выполнением работ при реализации Сопровождаемого контракта; </w:t>
      </w:r>
    </w:p>
    <w:p>
      <w:pPr>
        <w:pStyle w:val="Normal"/>
        <w:numPr>
          <w:ilvl w:val="0"/>
          <w:numId w:val="13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иные Исполнители по письменному ходатайству Заказчика и письменному согласованию Банка;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Банк.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89"/>
        <w:ind w:left="0" w:right="0" w:firstLine="567"/>
        <w:rPr/>
      </w:pPr>
      <w:r>
        <w:rPr/>
        <w:t xml:space="preserve"> </w:t>
      </w:r>
    </w:p>
    <w:p>
      <w:pPr>
        <w:pStyle w:val="Heading1"/>
        <w:tabs>
          <w:tab w:val="clear" w:pos="708"/>
          <w:tab w:val="center" w:pos="2839" w:leader="none"/>
          <w:tab w:val="center" w:pos="5136" w:leader="none"/>
        </w:tabs>
        <w:ind w:left="0" w:right="113" w:firstLine="567"/>
        <w:jc w:val="both"/>
        <w:rPr/>
      </w:pPr>
      <w:r>
        <w:rPr>
          <w:rFonts w:eastAsia="Calibri" w:cs="Calibri" w:ascii="Calibri" w:hAnsi="Calibri"/>
          <w:b w:val="false"/>
          <w:sz w:val="22"/>
        </w:rPr>
        <w:tab/>
      </w:r>
      <w:r>
        <w:rPr/>
        <w:t>2.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РЕЖИМ ОТДЕЛЬНОГО СЧЕТА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0" w:right="1844" w:firstLine="567"/>
        <w:rPr/>
      </w:pPr>
      <w:r>
        <w:rPr/>
        <w:t>2.1.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По Отдельному счету могут осуществляться следующие операции: </w:t>
      </w:r>
      <w:r>
        <w:rPr>
          <w:rFonts w:eastAsia="Segoe UI Symbol" w:cs="Segoe UI Symbol" w:ascii="Segoe UI Symbol" w:hAnsi="Segoe UI Symbol"/>
        </w:rPr>
        <w:t></w:t>
      </w:r>
      <w:r>
        <w:rPr>
          <w:rFonts w:eastAsia="Arial" w:cs="Arial" w:ascii="Arial" w:hAnsi="Arial"/>
        </w:rPr>
        <w:t xml:space="preserve"> </w:t>
        <w:tab/>
      </w:r>
      <w:r>
        <w:rPr/>
        <w:t xml:space="preserve">зачисление денежных средств без ограничений; </w:t>
      </w:r>
    </w:p>
    <w:p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перевод денежных средств на Отдельные счета Исполнителей; </w:t>
      </w:r>
    </w:p>
    <w:p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перевод денежных средств на банковские счета, не являющиеся Отдельными счетами, если получатель денежных средств не относится к Исполнителям; </w:t>
      </w:r>
    </w:p>
    <w:p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перевод денежных средств на банковские счета Клиента, не являющиеся Отдельными счетами, в сумме, не превышающей сумму собственных денежных средств Клиента, зачисленных на Отдельный счет с иных банковских счетов Клиента; </w:t>
      </w:r>
    </w:p>
    <w:p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перевод денежных средств на банковские счета Клиента, не являющиеся Отдельными счетами, в сумме документально подтвержденных платежей, связанных с реализацией Сопровождаемого контракта, оплаченных с иных банковских счетов Клиента до даты открытия Отдельного счета; </w:t>
      </w:r>
    </w:p>
    <w:p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contextualSpacing/>
        <w:rPr/>
      </w:pPr>
      <w:r>
        <w:rPr/>
        <w:t xml:space="preserve">перевод денежных средств в соответствии с распоряжениями взыскателей средств (без ограничений) в случаях, установленных законодательством Российской Федерации, на счета, не являющиеся ОБС). В случае списания денежных средств с Отдельного счета в соответствии с распоряжениями взыскателей средств, не связанных с реализацией Сопровождаемого контракта (договора, проекта), Исполнитель обязуется в течение 3 (трех) рабочих дней с даты списания зачислить на Отдельный счет собственные денежные средства в сумме, равной сумме такого списания. Стороны соглашаются, что до зачисления Исполнителем на Отдельный счет собственных денежных средств, указанных в настоящем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пункте, Банк не проводит расчетные операции по Отдельному счету; </w:t>
      </w:r>
    </w:p>
    <w:p>
      <w:pPr>
        <w:pStyle w:val="Normal"/>
        <w:numPr>
          <w:ilvl w:val="0"/>
          <w:numId w:val="5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перевод денежных средств в соответствии с требованиями Банка. </w:t>
      </w:r>
    </w:p>
    <w:p>
      <w:pPr>
        <w:pStyle w:val="Normal"/>
        <w:numPr>
          <w:ilvl w:val="1"/>
          <w:numId w:val="6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Стороны соглашаются, что режим Отдельного счета допускает расходование денежных средств на уплату комиссионного вознаграждения Банку в соответствии с тарифами Банка, погашение кредитов, привлекаемых Клиентом согласно отношениям, связанным со строительством Объекта, включая оплату процентов по таким кредитам (без штрафов, пени и неустоек), расходов, связанных с выдачей банковских гарантий (без штрафов, пени и неустоек) и/или приобретением страхового полиса, если выдача банковской гарантии (страхового полиса) предусмотрена условиями договоров, заключаемых Клиентом согласно отношениям, связанным с исполнением Сопровождаемого контракта (договора, проекта). Расходование денежных средств по переводам Клиента в бюджет, государственные внебюджетных фонды, переводам на выплату заработной платы, допускается в сумме, относящейся к строительству Объекта.  </w:t>
      </w:r>
    </w:p>
    <w:p>
      <w:pPr>
        <w:pStyle w:val="Normal"/>
        <w:numPr>
          <w:ilvl w:val="1"/>
          <w:numId w:val="6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Покупка иностранной валюты за счет денежных средств на Отдельном счете не допускается.  </w:t>
      </w:r>
    </w:p>
    <w:p>
      <w:pPr>
        <w:pStyle w:val="Normal"/>
        <w:numPr>
          <w:ilvl w:val="1"/>
          <w:numId w:val="6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Операции с использованием аккредитивной формы расчетов по Счету не осуществляются. </w:t>
      </w:r>
    </w:p>
    <w:p>
      <w:pPr>
        <w:pStyle w:val="Normal"/>
        <w:numPr>
          <w:ilvl w:val="1"/>
          <w:numId w:val="6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Банк не уплачивает Клиенту проценты на остаток денежных средств, находящийся на Отдельном счете, а также не заключает с Клиентом сделок размещения денежных средств, находящихся на Отдельном счете, в виде депозитов и поддержания неснижаемого остатка. 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34"/>
        <w:ind w:left="0" w:right="0" w:firstLine="567"/>
        <w:rPr/>
      </w:pPr>
      <w:r>
        <w:rPr/>
        <w:t xml:space="preserve"> </w:t>
      </w:r>
    </w:p>
    <w:p>
      <w:pPr>
        <w:pStyle w:val="Heading1"/>
        <w:ind w:left="0" w:right="113" w:firstLine="567"/>
        <w:jc w:val="both"/>
        <w:rPr/>
      </w:pPr>
      <w:r>
        <w:rPr/>
        <w:t>3.</w:t>
      </w:r>
      <w:r>
        <w:rPr>
          <w:rFonts w:eastAsia="Arial" w:cs="Arial" w:ascii="Arial" w:hAnsi="Arial"/>
        </w:rPr>
        <w:t xml:space="preserve"> </w:t>
      </w:r>
      <w:r>
        <w:rPr/>
        <w:t xml:space="preserve">     ПРЕДМЕТ КОНТРОЛЯ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>3.1.</w:t>
      </w:r>
      <w:r>
        <w:rPr>
          <w:rFonts w:eastAsia="Arial" w:cs="Arial" w:ascii="Arial" w:hAnsi="Arial"/>
        </w:rPr>
        <w:t xml:space="preserve"> </w:t>
      </w:r>
      <w:r>
        <w:rPr/>
        <w:t xml:space="preserve">Клиент поручает Банку осуществлять контроль целевого расходования денежных средств по Отдельному счету на предмет: </w:t>
      </w:r>
    </w:p>
    <w:p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соответствия переводов условиям Сопровождаемого контракта;  </w:t>
      </w:r>
    </w:p>
    <w:p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наличия Заявки на перевод в Реестре планируемых переводов, направленном посредством СДБО «Клиент-Банк» и/или на электронный адрес ответственному сотруднику Банка в виде сканированного образа документа, за подписью и печатью Заказчика. Банк не проверяет подлинность подписи и полномочия лиц, подписавших документ; </w:t>
      </w:r>
    </w:p>
    <w:p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соответствия переводов Обосновывающим документам, в том числе условиям договоров, при исполнении обязательств по которым инициируется перевод;  </w:t>
      </w:r>
    </w:p>
    <w:p>
      <w:pPr>
        <w:pStyle w:val="Normal"/>
        <w:numPr>
          <w:ilvl w:val="0"/>
          <w:numId w:val="11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соответствия переводов Параметрам банковского сопровождения, в т.ч. режиму Отдельного счета.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Распоряжения на перевод, направленные Клиентом в Банк, до их согласования Банком рассматриваются сторонами как Заявки на перевод. Банк не принимает для исполнения Распоряжения на перевод Клиента до завершения экспертизы Заявок на перевод и Обосновывающих документов.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Банк оказывает услугу банковского сопровождения после получения от Заказчика посредством СДБО «Клиент-Банк» или через Систему «ГПБ Бизнес-Онлайн» или посредством электронной почты Заявки на оказание услуги банковского сопровождения (по форме Приложения №2 к Договору на оказание услуги банковского сопровождения) в которой указывается Сопровождаемый контракт и его реквизиты. 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Стороны пришли к соглашению, что в случае предоставления Заказчиком в Банк ходатайства о необходимости направления Банком на согласование Заявок на перевод Исполнителей Заказчику, Банк после получения такой Заявки на перевод, направляет ее на согласование Заказчику. В этом случае срок согласования Заявки на перевод увеличивается на время такого согласования. До принятия решения Заказчиком о согласовании или о несогласовании планируемого перевода Банк не несет ответственность за возможные последствия просрочки совершения платежа. Приоритетным способом обмена информацией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между Банком и Заказчиком является СДБО «Клиент-Банк» и/или сервис «Интерактивная отчетность».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Клиент обязуется требовать от других Исполнителей, являющихся контрагентами Клиента, согласно отношениям, связанным с реализацией Сопровождаемого контракта, открывать Отдельные счета в Банке для осуществления расчетов, связанных с реализацией Сопровождаемого контракта. Ответственность за любые задержки переводов с Отдельного счета Клиента, связанные с отсутствием Отдельного счета контрагента Клиента в Банке, несет Клиент.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Клиент обязуется заключить с Банком соглашение о предоставлении услуг электронного документооборота (СДБО «Клиент-Банк»).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Клиент обязуется указывать в предмете договоров, заключаемых во исполнение Сопровождаемого контракта с Исполнителями, ссылку на Сопровождаемый контракт.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Клиент обязуется не предоставлять в Банк заявление о расторжении Договора счета до даты расторжения Дополнительного соглашения к Договору счета, заключенного на основании Акцепт оферты.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Клиент уполномочивает Банк предоставлять информацию по Отдельному счету Клиента и Обосновывающие документы Клиента Заказчику.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Стороны соглашаются, что Дополнительное соглашение, заключенное на основании Акцепта оферты, расторгается в соответствии с п. 2.8-2.10 Оферты.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Стороны соглашаются, что рассмотрение документов/Заявок на перевод, полученных Банком от Заказчика в ходе исполнения Договора, осуществляет Банк.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По Отдельному счету могут осуществляться только операции, осуществляемые для целей исполнения Сопровождаемого контракта. </w:t>
      </w:r>
    </w:p>
    <w:p>
      <w:pPr>
        <w:pStyle w:val="Normal"/>
        <w:numPr>
          <w:ilvl w:val="1"/>
          <w:numId w:val="7"/>
        </w:numPr>
        <w:pBdr>
          <w:top w:val="nil"/>
          <w:left w:val="nil"/>
          <w:bottom w:val="nil"/>
          <w:right w:val="nil"/>
        </w:pBdr>
        <w:spacing w:before="0" w:after="14"/>
        <w:ind w:left="0" w:right="14" w:firstLine="567"/>
        <w:rPr/>
      </w:pPr>
      <w:r>
        <w:rPr/>
        <w:t xml:space="preserve">Поле «Назначение платежа» должно иметь всю необходимую для проведения контроля информацию.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89"/>
        <w:ind w:left="34" w:right="0" w:hanging="0"/>
        <w:jc w:val="left"/>
        <w:rPr/>
      </w:pP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34" w:right="0" w:hanging="0"/>
        <w:jc w:val="left"/>
        <w:rPr/>
      </w:pPr>
      <w:r>
        <w:rPr/>
        <w:t xml:space="preserve"> </w:t>
      </w:r>
      <w:r>
        <w:rPr/>
        <w:tab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64" w:before="0" w:after="139"/>
        <w:ind w:left="40" w:right="0" w:hanging="10"/>
        <w:jc w:val="center"/>
        <w:rPr/>
      </w:pPr>
      <w:r>
        <w:rPr>
          <w:sz w:val="20"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264"/>
        <w:ind w:left="34" w:right="0" w:hanging="0"/>
        <w:jc w:val="left"/>
        <w:rPr>
          <w:rFonts w:ascii="Calibri" w:hAnsi="Calibri" w:eastAsia="Calibri" w:cs="Calibri"/>
          <w:i/>
          <w:i/>
          <w:sz w:val="16"/>
        </w:rPr>
      </w:pPr>
      <w:r>
        <w:rPr>
          <w:rFonts w:eastAsia="Calibri" w:cs="Calibri" w:ascii="Calibri" w:hAnsi="Calibri"/>
          <w:i/>
          <w:sz w:val="16"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0"/>
        <w:ind w:left="0" w:right="0" w:hanging="0"/>
        <w:jc w:val="left"/>
        <w:rPr>
          <w:rFonts w:ascii="Calibri" w:hAnsi="Calibri" w:eastAsia="Calibri" w:cs="Calibri"/>
          <w:i/>
          <w:i/>
          <w:sz w:val="16"/>
        </w:rPr>
      </w:pPr>
      <w:r>
        <w:rPr>
          <w:rFonts w:eastAsia="Calibri" w:cs="Calibri" w:ascii="Calibri" w:hAnsi="Calibri"/>
          <w:i/>
          <w:sz w:val="16"/>
        </w:rPr>
      </w:r>
      <w:r>
        <w:br w:type="page"/>
      </w:r>
    </w:p>
    <w:p>
      <w:pPr>
        <w:pStyle w:val="Heading1"/>
        <w:spacing w:before="0" w:after="220"/>
        <w:ind w:left="1959" w:right="113" w:hanging="0"/>
        <w:jc w:val="left"/>
        <w:rPr/>
      </w:pPr>
      <w:r>
        <w:rPr>
          <w:i/>
        </w:rPr>
        <w:t>4.</w:t>
      </w:r>
      <w:r>
        <w:rPr>
          <w:rFonts w:eastAsia="Arial" w:cs="Arial" w:ascii="Arial" w:hAnsi="Arial"/>
          <w:i/>
        </w:rPr>
        <w:t xml:space="preserve"> </w:t>
      </w:r>
      <w:r>
        <w:rPr>
          <w:i/>
        </w:rPr>
        <w:t xml:space="preserve">ФОРМА РЕЕСТРА ПЛАНИРУЕМЫХ ПЕРЕВОДОВ *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753" w:right="0" w:hanging="0"/>
        <w:jc w:val="left"/>
        <w:rPr/>
      </w:pPr>
      <w:r>
        <w:rPr>
          <w:b/>
        </w:rPr>
        <w:t xml:space="preserve"> </w:t>
      </w:r>
    </w:p>
    <w:tbl>
      <w:tblPr>
        <w:tblStyle w:val="TableGrid"/>
        <w:tblW w:w="8776" w:type="dxa"/>
        <w:jc w:val="left"/>
        <w:tblInd w:w="0" w:type="dxa"/>
        <w:tblLayout w:type="fixed"/>
        <w:tblCellMar>
          <w:top w:w="2" w:type="dxa"/>
          <w:left w:w="0" w:type="dxa"/>
          <w:bottom w:w="0" w:type="dxa"/>
          <w:right w:w="0" w:type="dxa"/>
        </w:tblCellMar>
        <w:tblLook w:lastRow="0" w:firstRow="1" w:lastColumn="0" w:firstColumn="1" w:val="04a0" w:noHBand="0" w:noVBand="1"/>
      </w:tblPr>
      <w:tblGrid>
        <w:gridCol w:w="5715"/>
        <w:gridCol w:w="3060"/>
      </w:tblGrid>
      <w:tr>
        <w:trPr>
          <w:trHeight w:val="1301" w:hRule="atLeast"/>
        </w:trPr>
        <w:tc>
          <w:tcPr>
            <w:tcW w:w="5715" w:type="dxa"/>
            <w:tcBorders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Утверждаю: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2" w:before="0" w:after="41"/>
              <w:ind w:left="0" w:right="1472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____________________________ </w:t>
            </w:r>
            <w:r>
              <w:rPr>
                <w:kern w:val="0"/>
                <w:sz w:val="18"/>
                <w:szCs w:val="22"/>
                <w:lang w:val="ru-RU" w:eastAsia="ru-RU" w:bidi="ar-SA"/>
              </w:rPr>
              <w:t xml:space="preserve">должность представителя Исполнителя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_____________ / ____________ /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18"/>
                <w:szCs w:val="22"/>
                <w:lang w:val="ru-RU" w:eastAsia="ru-RU" w:bidi="ar-SA"/>
              </w:rPr>
              <w:t xml:space="preserve">подпись                                        ФИО </w:t>
            </w:r>
          </w:p>
        </w:tc>
        <w:tc>
          <w:tcPr>
            <w:tcW w:w="3060" w:type="dxa"/>
            <w:tcBorders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Согласовано: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_____________________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67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18"/>
                <w:szCs w:val="22"/>
                <w:lang w:val="ru-RU" w:eastAsia="ru-RU" w:bidi="ar-SA"/>
              </w:rPr>
              <w:t xml:space="preserve">должность представителя Заказчика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tabs>
                <w:tab w:val="clear" w:pos="708"/>
                <w:tab w:val="right" w:pos="3060" w:leader="none"/>
              </w:tabs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___________ </w:t>
              <w:tab/>
              <w:t xml:space="preserve">/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_______________/ </w:t>
            </w:r>
          </w:p>
        </w:tc>
      </w:tr>
    </w:tbl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37"/>
        <w:ind w:left="0" w:right="988" w:hanging="0"/>
        <w:jc w:val="right"/>
        <w:rPr/>
      </w:pPr>
      <w:r>
        <w:rPr>
          <w:sz w:val="18"/>
        </w:rPr>
        <w:t xml:space="preserve">подпись                                           ФИО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35" w:before="0" w:after="0"/>
        <w:ind w:left="0" w:right="3901" w:hanging="0"/>
        <w:jc w:val="left"/>
        <w:rPr/>
      </w:pPr>
      <w:r>
        <w:rPr/>
        <w:t xml:space="preserve"> 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29" w:right="14" w:hanging="10"/>
        <w:rPr/>
      </w:pPr>
      <w:r>
        <w:rPr/>
        <w:t xml:space="preserve">Реестр планируемых переводов № ________ от «___» __________ 20___ г.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0" w:right="0" w:hanging="0"/>
        <w:jc w:val="left"/>
        <w:rPr/>
      </w:pP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before="0" w:after="14"/>
        <w:ind w:left="29" w:right="14" w:hanging="10"/>
        <w:rPr/>
      </w:pPr>
      <w:r>
        <w:rPr/>
        <w:t xml:space="preserve">по Договору от ___________  № ____________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0" w:right="0" w:hanging="0"/>
        <w:jc w:val="left"/>
        <w:rPr/>
      </w:pPr>
      <w:r>
        <w:rPr/>
        <w:t xml:space="preserve"> </w:t>
      </w:r>
    </w:p>
    <w:tbl>
      <w:tblPr>
        <w:tblStyle w:val="TableGrid"/>
        <w:tblW w:w="10351" w:type="dxa"/>
        <w:jc w:val="left"/>
        <w:tblInd w:w="-108" w:type="dxa"/>
        <w:tblLayout w:type="fixed"/>
        <w:tblCellMar>
          <w:top w:w="10" w:type="dxa"/>
          <w:left w:w="106" w:type="dxa"/>
          <w:bottom w:w="0" w:type="dxa"/>
          <w:right w:w="55" w:type="dxa"/>
        </w:tblCellMar>
        <w:tblLook w:noVBand="1" w:val="04a0" w:noHBand="0" w:lastColumn="0" w:firstColumn="1" w:lastRow="0" w:firstRow="1"/>
      </w:tblPr>
      <w:tblGrid>
        <w:gridCol w:w="754"/>
        <w:gridCol w:w="1413"/>
        <w:gridCol w:w="1348"/>
        <w:gridCol w:w="1407"/>
        <w:gridCol w:w="734"/>
        <w:gridCol w:w="853"/>
        <w:gridCol w:w="1370"/>
        <w:gridCol w:w="1055"/>
        <w:gridCol w:w="1416"/>
      </w:tblGrid>
      <w:tr>
        <w:trPr>
          <w:trHeight w:val="1262" w:hRule="atLeast"/>
        </w:trPr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№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п/п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Плательщик 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Получатель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Номер платежного поручения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Дата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Сумма 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Номер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>банковског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tabs>
                <w:tab w:val="clear" w:pos="708"/>
                <w:tab w:val="right" w:pos="1205" w:leader="none"/>
              </w:tabs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о </w:t>
              <w:tab/>
              <w:t xml:space="preserve">счета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Получателя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 xml:space="preserve">Назначе ние платежа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22"/>
                <w:szCs w:val="22"/>
                <w:lang w:val="ru-RU" w:eastAsia="ru-RU" w:bidi="ar-SA"/>
              </w:rPr>
              <w:t>Перечень обосновыва ющих документов</w:t>
            </w:r>
            <w:r>
              <w:rPr>
                <w:rFonts w:eastAsia="Calibri" w:cs="Calibri" w:ascii="Calibri" w:hAnsi="Calibri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</w:p>
        </w:tc>
      </w:tr>
      <w:tr>
        <w:trPr>
          <w:trHeight w:val="744" w:hRule="atLeast"/>
        </w:trPr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225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Calibri" w:cs="Calibri" w:ascii="Calibri" w:hAnsi="Calibri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</w:p>
        </w:tc>
      </w:tr>
      <w:tr>
        <w:trPr>
          <w:trHeight w:val="744" w:hRule="atLeast"/>
        </w:trPr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… </w:t>
            </w:r>
          </w:p>
        </w:tc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  <w:r>
              <w:rPr>
                <w:rFonts w:eastAsia="Calibri" w:cs="Calibri" w:ascii="Calibri" w:hAnsi="Calibri"/>
                <w:kern w:val="0"/>
                <w:sz w:val="22"/>
                <w:szCs w:val="22"/>
                <w:lang w:val="ru-RU" w:eastAsia="ru-RU" w:bidi="ar-SA"/>
              </w:rPr>
              <w:t xml:space="preserve"> </w:t>
            </w:r>
          </w:p>
        </w:tc>
      </w:tr>
    </w:tbl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754" w:right="0" w:hanging="0"/>
        <w:jc w:val="left"/>
        <w:rPr/>
      </w:pP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83"/>
        <w:ind w:left="754" w:right="0" w:hanging="0"/>
        <w:jc w:val="left"/>
        <w:rPr/>
      </w:pPr>
      <w:r>
        <w:rPr>
          <w:rFonts w:eastAsia="Calibri" w:cs="Calibri" w:ascii="Calibri" w:hAnsi="Calibri"/>
          <w:sz w:val="16"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7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213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59"/>
        <w:ind w:left="3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9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216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56"/>
        <w:ind w:left="3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9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"/>
        <w:ind w:left="754" w:right="0" w:hanging="0"/>
        <w:jc w:val="left"/>
        <w:rPr/>
      </w:pPr>
      <w:r>
        <w:rPr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"/>
        <w:ind w:left="754" w:right="0" w:hanging="0"/>
        <w:jc w:val="left"/>
        <w:rPr/>
      </w:pPr>
      <w:r>
        <w:rPr>
          <w:b/>
        </w:rPr>
        <w:t xml:space="preserve">_________________________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16" w:before="0" w:after="61"/>
        <w:ind w:left="754" w:right="0" w:hanging="0"/>
        <w:jc w:val="left"/>
        <w:rPr/>
      </w:pPr>
      <w:r>
        <w:rPr/>
        <w:t xml:space="preserve">* </w:t>
      </w:r>
      <w:r>
        <w:rPr>
          <w:sz w:val="18"/>
        </w:rPr>
        <w:t>Форма реестра может быть</w:t>
      </w:r>
      <w:r>
        <w:rPr/>
        <w:t xml:space="preserve"> </w:t>
      </w:r>
      <w:r>
        <w:rPr>
          <w:sz w:val="18"/>
        </w:rPr>
        <w:t>скорректирована/дополнена Заказчиком применительно к Сопровождаемому контракту</w:t>
      </w:r>
      <w:r>
        <w:rPr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34" w:right="0" w:hanging="0"/>
        <w:jc w:val="left"/>
        <w:rPr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160"/>
        <w:ind w:left="0" w:right="0" w:hanging="0"/>
        <w:jc w:val="left"/>
        <w:rPr>
          <w:sz w:val="20"/>
        </w:rPr>
      </w:pPr>
      <w:r>
        <w:rPr>
          <w:sz w:val="20"/>
        </w:rPr>
      </w:r>
      <w:r>
        <w:br w:type="page"/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64" w:before="0" w:after="240"/>
        <w:ind w:left="40" w:right="0" w:hanging="10"/>
        <w:jc w:val="center"/>
        <w:rPr/>
      </w:pPr>
      <w:r>
        <w:rPr>
          <w:sz w:val="20"/>
        </w:rPr>
        <w:t xml:space="preserve"> </w:t>
      </w:r>
    </w:p>
    <w:p>
      <w:pPr>
        <w:pStyle w:val="Heading1"/>
        <w:spacing w:before="0" w:after="67"/>
        <w:ind w:left="0" w:right="2782" w:hanging="0"/>
        <w:jc w:val="right"/>
        <w:rPr/>
      </w:pPr>
      <w:r>
        <w:rPr/>
        <w:t>5.</w:t>
      </w:r>
      <w:r>
        <w:rPr>
          <w:rFonts w:eastAsia="Arial" w:cs="Arial" w:ascii="Arial" w:hAnsi="Arial"/>
        </w:rPr>
        <w:t xml:space="preserve"> </w:t>
      </w:r>
      <w:r>
        <w:rPr/>
        <w:t xml:space="preserve">ФОРМА АКЦЕПТА ОФЕРТЫ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753" w:right="0" w:hanging="0"/>
        <w:jc w:val="left"/>
        <w:rPr/>
      </w:pPr>
      <w:r>
        <w:rPr>
          <w:rFonts w:eastAsia="Calibri" w:cs="Calibri" w:ascii="Calibri" w:hAnsi="Calibri"/>
          <w:b/>
          <w:sz w:val="28"/>
        </w:rPr>
        <w:t xml:space="preserve"> </w:t>
      </w:r>
    </w:p>
    <w:tbl>
      <w:tblPr>
        <w:tblStyle w:val="TableGrid"/>
        <w:tblW w:w="9631" w:type="dxa"/>
        <w:jc w:val="left"/>
        <w:tblInd w:w="38" w:type="dxa"/>
        <w:tblLayout w:type="fixed"/>
        <w:tblCellMar>
          <w:top w:w="17" w:type="dxa"/>
          <w:left w:w="79" w:type="dxa"/>
          <w:bottom w:w="0" w:type="dxa"/>
          <w:right w:w="48" w:type="dxa"/>
        </w:tblCellMar>
        <w:tblLook w:noVBand="1" w:val="04a0" w:noHBand="0" w:lastColumn="0" w:firstColumn="1" w:lastRow="0" w:firstRow="1"/>
      </w:tblPr>
      <w:tblGrid>
        <w:gridCol w:w="9631"/>
      </w:tblGrid>
      <w:tr>
        <w:trPr>
          <w:trHeight w:val="10106" w:hRule="atLeast"/>
        </w:trPr>
        <w:tc>
          <w:tcPr>
            <w:tcW w:w="9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3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 w:val="20"/>
                <w:szCs w:val="22"/>
                <w:lang w:val="ru-RU" w:eastAsia="ru-RU" w:bidi="ar-SA"/>
              </w:rPr>
              <w:t xml:space="preserve">ФОРМА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41"/>
              <w:ind w:left="0" w:right="41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i/>
                <w:kern w:val="0"/>
                <w:sz w:val="18"/>
                <w:szCs w:val="22"/>
                <w:lang w:val="ru-RU" w:eastAsia="ru-RU" w:bidi="ar-SA"/>
              </w:rPr>
              <w:t xml:space="preserve">(представляется в Банк ГПБ (АО) на бланке организации с указанием номера документа и даты обращения)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righ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35" w:before="0" w:after="1"/>
              <w:ind w:left="29" w:right="0" w:firstLine="7362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В БАНК ГПБ (АО) от «__» __________ 20___ г.                                                                                    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№ </w:t>
            </w:r>
            <w:r>
              <w:rPr>
                <w:b/>
                <w:kern w:val="0"/>
                <w:szCs w:val="22"/>
                <w:lang w:val="ru-RU" w:eastAsia="ru-RU" w:bidi="ar-SA"/>
              </w:rPr>
              <w:t xml:space="preserve">____________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33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АКЦЕПТ ОФЕРТЫ Банка ГПБ (АО)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35" w:before="0" w:after="0"/>
              <w:ind w:left="501" w:right="475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на заключение дополнительного соглашения к договору банковского счета № _____________________ от «____» _____________ 20__ г.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35" w:before="0" w:after="0"/>
              <w:ind w:left="0" w:right="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между Банком ГПБ (АО) и Клиентом – юридическим лицом – некредитной организацией/индивидуальным предпринимателем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39"/>
              <w:ind w:left="29" w:right="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1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>Настоящим____________________________________________________________</w:t>
            </w:r>
            <w:r>
              <w:rPr>
                <w:kern w:val="0"/>
                <w:sz w:val="18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37"/>
              <w:ind w:left="688" w:right="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i/>
                <w:kern w:val="0"/>
                <w:sz w:val="18"/>
                <w:szCs w:val="22"/>
                <w:lang w:val="ru-RU" w:eastAsia="ru-RU" w:bidi="ar-SA"/>
              </w:rPr>
              <w:t>(наименование Клиента, ИНН Клиента)</w:t>
            </w:r>
            <w:r>
              <w:rPr>
                <w:kern w:val="0"/>
                <w:sz w:val="18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(далее – Клиент) акцептует Оферту Банка ГПБ (АО), в отношении банковского счета Клиента: </w:t>
            </w:r>
          </w:p>
          <w:tbl>
            <w:tblPr>
              <w:tblStyle w:val="TableGrid"/>
              <w:tblW w:w="9404" w:type="dxa"/>
              <w:jc w:val="left"/>
              <w:tblInd w:w="34" w:type="dxa"/>
              <w:tblLayout w:type="fixed"/>
              <w:tblCellMar>
                <w:top w:w="18" w:type="dxa"/>
                <w:left w:w="178" w:type="dxa"/>
                <w:bottom w:w="0" w:type="dxa"/>
                <w:right w:w="115" w:type="dxa"/>
              </w:tblCellMar>
              <w:tblLook w:noVBand="1" w:val="04a0" w:noHBand="0" w:lastColumn="0" w:firstColumn="1" w:lastRow="0" w:firstRow="1"/>
            </w:tblPr>
            <w:tblGrid>
              <w:gridCol w:w="2241"/>
              <w:gridCol w:w="360"/>
              <w:gridCol w:w="359"/>
              <w:gridCol w:w="356"/>
              <w:gridCol w:w="362"/>
              <w:gridCol w:w="360"/>
              <w:gridCol w:w="356"/>
              <w:gridCol w:w="360"/>
              <w:gridCol w:w="360"/>
              <w:gridCol w:w="358"/>
              <w:gridCol w:w="356"/>
              <w:gridCol w:w="361"/>
              <w:gridCol w:w="359"/>
              <w:gridCol w:w="359"/>
              <w:gridCol w:w="356"/>
              <w:gridCol w:w="360"/>
              <w:gridCol w:w="358"/>
              <w:gridCol w:w="360"/>
              <w:gridCol w:w="356"/>
              <w:gridCol w:w="361"/>
              <w:gridCol w:w="343"/>
            </w:tblGrid>
            <w:tr>
              <w:trPr>
                <w:trHeight w:val="305" w:hRule="atLeast"/>
              </w:trPr>
              <w:tc>
                <w:tcPr>
                  <w:tcW w:w="224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648" w:right="0" w:hanging="0"/>
                    <w:jc w:val="left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№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4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0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3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0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5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3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5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6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2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  <w:tc>
                <w:tcPr>
                  <w:tcW w:w="3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color="auto" w:fill="F3F3F3" w:val="clear"/>
                </w:tcPr>
                <w:p>
                  <w:pPr>
                    <w:pStyle w:val="Normal"/>
                    <w:widowControl w:val="false"/>
                    <w:pBdr>
                      <w:top w:val="nil"/>
                      <w:left w:val="nil"/>
                      <w:bottom w:val="nil"/>
                      <w:right w:val="nil"/>
                    </w:pBdr>
                    <w:suppressAutoHyphens w:val="true"/>
                    <w:spacing w:lineRule="auto" w:line="259" w:before="0" w:after="0"/>
                    <w:ind w:left="0" w:right="1" w:hanging="0"/>
                    <w:jc w:val="center"/>
                    <w:rPr>
                      <w:kern w:val="0"/>
                      <w:szCs w:val="22"/>
                      <w:lang w:val="ru-RU" w:eastAsia="ru-RU" w:bidi="ar-SA"/>
                    </w:rPr>
                  </w:pPr>
                  <w:r>
                    <w:rPr>
                      <w:kern w:val="0"/>
                      <w:szCs w:val="22"/>
                      <w:lang w:val="ru-RU" w:eastAsia="ru-RU" w:bidi="ar-SA"/>
                    </w:rPr>
                    <w:t xml:space="preserve"> </w:t>
                  </w:r>
                </w:p>
              </w:tc>
            </w:tr>
          </w:tbl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3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40" w:before="0" w:after="0"/>
              <w:ind w:left="29" w:right="0" w:hanging="1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Договор об оказании услуги банковского сопровождения / </w:t>
            </w:r>
            <w:r>
              <w:rPr>
                <w:kern w:val="0"/>
                <w:szCs w:val="22"/>
                <w:u w:val="single" w:color="000000"/>
                <w:lang w:val="ru-RU" w:eastAsia="ru-RU" w:bidi="ar-SA"/>
              </w:rPr>
              <w:t>Идентификатор</w:t>
            </w: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  <w:r>
              <w:rPr>
                <w:kern w:val="0"/>
                <w:szCs w:val="22"/>
                <w:u w:val="single" w:color="000000"/>
                <w:lang w:val="ru-RU" w:eastAsia="ru-RU" w:bidi="ar-SA"/>
              </w:rPr>
              <w:t>Сопровождаемого контракта (договора, проекта)</w:t>
            </w:r>
            <w:r>
              <w:rPr>
                <w:kern w:val="0"/>
                <w:szCs w:val="22"/>
                <w:lang w:val="ru-RU" w:eastAsia="ru-RU" w:bidi="ar-SA"/>
              </w:rPr>
              <w:t xml:space="preserve">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57"/>
              <w:ind w:left="0" w:right="33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i/>
                <w:kern w:val="0"/>
                <w:sz w:val="18"/>
                <w:szCs w:val="22"/>
                <w:u w:val="single" w:color="000000"/>
                <w:lang w:val="ru-RU" w:eastAsia="ru-RU" w:bidi="ar-SA"/>
              </w:rPr>
              <w:t>(нужное подчеркнуть)</w:t>
            </w:r>
            <w:r>
              <w:rPr>
                <w:i/>
                <w:kern w:val="0"/>
                <w:sz w:val="18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6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№ </w:t>
            </w:r>
            <w:r>
              <w:rPr>
                <w:kern w:val="0"/>
                <w:szCs w:val="22"/>
                <w:lang w:val="ru-RU" w:eastAsia="ru-RU" w:bidi="ar-SA"/>
              </w:rPr>
              <w:t xml:space="preserve">_______________________ от _________________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>ИСД 0038001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4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2" w:before="0" w:after="0"/>
              <w:ind w:left="29" w:right="0" w:hanging="1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Информация для регистрации в Личном кабинете: Номер мобильного телефона: </w:t>
            </w:r>
            <w:r>
              <w:rPr>
                <w:kern w:val="0"/>
                <w:szCs w:val="22"/>
                <w:u w:val="single" w:color="000000"/>
                <w:lang w:val="ru-RU" w:eastAsia="ru-RU" w:bidi="ar-SA"/>
              </w:rPr>
              <w:t>+7</w:t>
            </w:r>
            <w:r>
              <w:rPr>
                <w:kern w:val="0"/>
                <w:szCs w:val="22"/>
                <w:lang w:val="ru-RU" w:eastAsia="ru-RU" w:bidi="ar-SA"/>
              </w:rPr>
              <w:t xml:space="preserve">______________________ Адрес электронной почты: __________________________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15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tabs>
                <w:tab w:val="clear" w:pos="708"/>
                <w:tab w:val="center" w:pos="4366" w:leader="none"/>
                <w:tab w:val="center" w:pos="7679" w:leader="none"/>
              </w:tabs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Руководитель </w:t>
              <w:tab/>
              <w:t xml:space="preserve">________________________ </w:t>
              <w:tab/>
              <w:t xml:space="preserve">________________________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tabs>
                <w:tab w:val="clear" w:pos="708"/>
                <w:tab w:val="center" w:pos="4474" w:leader="none"/>
                <w:tab w:val="center" w:pos="7786" w:leader="none"/>
              </w:tabs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 w:val="37"/>
                <w:szCs w:val="22"/>
                <w:vertAlign w:val="subscript"/>
                <w:lang w:val="ru-RU" w:eastAsia="ru-RU" w:bidi="ar-SA"/>
              </w:rPr>
              <w:t xml:space="preserve"> </w:t>
            </w:r>
            <w:r>
              <w:rPr>
                <w:kern w:val="0"/>
                <w:sz w:val="37"/>
                <w:szCs w:val="22"/>
                <w:vertAlign w:val="subscript"/>
                <w:lang w:val="ru-RU" w:eastAsia="ru-RU" w:bidi="ar-SA"/>
              </w:rPr>
              <w:tab/>
            </w:r>
            <w:r>
              <w:rPr>
                <w:i/>
                <w:kern w:val="0"/>
                <w:sz w:val="18"/>
                <w:szCs w:val="22"/>
                <w:lang w:val="ru-RU" w:eastAsia="ru-RU" w:bidi="ar-SA"/>
              </w:rPr>
              <w:t xml:space="preserve">(подпись) </w:t>
              <w:tab/>
              <w:t xml:space="preserve">(фамилия, инициалы)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45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М.П.  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66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/>
              <mc:AlternateContent>
                <mc:Choice Requires="wpg">
                  <w:drawing>
                    <wp:inline distT="0" distB="0" distL="0" distR="0">
                      <wp:extent cx="6014720" cy="18415"/>
                      <wp:effectExtent l="0" t="0" r="0" b="0"/>
                      <wp:docPr id="2" name="Group 18079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14880" cy="18360"/>
                                <a:chOff x="0" y="0"/>
                                <a:chExt cx="6014880" cy="18360"/>
                              </a:xfrm>
                            </wpg:grpSpPr>
                            <wps:wsp>
                              <wps:cNvSpPr/>
                              <wps:spPr>
                                <a:xfrm>
                                  <a:off x="0" y="0"/>
                                  <a:ext cx="6014880" cy="18360"/>
                                </a:xfrm>
                                <a:custGeom>
                                  <a:avLst/>
                                  <a:gdLst>
                                    <a:gd name="textAreaLeft" fmla="*/ 0 w 3409920"/>
                                    <a:gd name="textAreaRight" fmla="*/ 3411000 w 3409920"/>
                                    <a:gd name="textAreaTop" fmla="*/ 0 h 10440"/>
                                    <a:gd name="textAreaBottom" fmla="*/ 11520 h 10440"/>
                                  </a:gdLst>
                                  <a:ahLst/>
                                  <a:rect l="textAreaLeft" t="textAreaTop" r="textAreaRight" b="textAreaBottom"/>
                                  <a:pathLst>
                                    <a:path w="6014953" h="18288">
                                      <a:moveTo>
                                        <a:pt x="0" y="0"/>
                                      </a:moveTo>
                                      <a:lnTo>
                                        <a:pt x="6014953" y="0"/>
                                      </a:lnTo>
                                      <a:lnTo>
                                        <a:pt x="6014953" y="18288"/>
                                      </a:lnTo>
                                      <a:lnTo>
                                        <a:pt x="0" y="1828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 w="0">
                                  <a:noFill/>
                                </a:ln>
                              </wps:spPr>
                              <wps:style>
                                <a:lnRef idx="0"/>
                                <a:fillRef idx="0"/>
                                <a:effectRef idx="0"/>
                                <a:fontRef idx="minor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shape_0" alt="Group 18079" style="position:absolute;margin-left:0pt;margin-top:-1.5pt;width:473.6pt;height:1.45pt" coordorigin="0,-30" coordsize="9472,29"/>
                  </w:pict>
                </mc:Fallback>
              </mc:AlternateConten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 w:val="28"/>
                <w:szCs w:val="22"/>
                <w:lang w:val="ru-RU" w:eastAsia="ru-RU" w:bidi="ar-SA"/>
              </w:rPr>
              <w:t xml:space="preserve">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Дата приема Акцепта: «___» _________ 20___ г. </w:t>
            </w:r>
          </w:p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9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 </w:t>
            </w:r>
          </w:p>
        </w:tc>
      </w:tr>
    </w:tbl>
    <w:p>
      <w:pPr>
        <w:sectPr>
          <w:footerReference w:type="even" r:id="rId6"/>
          <w:footerReference w:type="default" r:id="rId7"/>
          <w:footerReference w:type="first" r:id="rId8"/>
          <w:type w:val="nextPage"/>
          <w:pgSz w:w="11906" w:h="16838"/>
          <w:pgMar w:left="1385" w:right="845" w:gutter="0" w:header="0" w:top="753" w:footer="654" w:bottom="1146"/>
          <w:pgNumType w:fmt="decimal"/>
          <w:formProt w:val="false"/>
          <w:textDirection w:val="lrTb"/>
          <w:docGrid w:type="default" w:linePitch="100" w:charSpace="0"/>
        </w:sect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754" w:right="0" w:hanging="0"/>
        <w:jc w:val="left"/>
        <w:rPr/>
      </w:pPr>
      <w:r>
        <w:rPr>
          <w:rFonts w:eastAsia="Calibri" w:cs="Calibri" w:ascii="Calibri" w:hAnsi="Calibri"/>
          <w:b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64" w:before="0" w:after="440"/>
        <w:ind w:left="40" w:right="1050" w:hanging="10"/>
        <w:jc w:val="center"/>
        <w:rPr/>
      </w:pPr>
      <w:r>
        <w:rPr>
          <w:sz w:val="20"/>
        </w:rPr>
        <w:t xml:space="preserve">13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0"/>
        <w:ind w:left="2321" w:right="0" w:hanging="0"/>
        <w:jc w:val="left"/>
        <w:rPr/>
      </w:pPr>
      <w:r>
        <w:rPr>
          <w:b/>
        </w:rPr>
        <w:t>6.</w:t>
      </w:r>
      <w:r>
        <w:rPr>
          <w:rFonts w:eastAsia="Arial" w:cs="Arial" w:ascii="Arial" w:hAnsi="Arial"/>
          <w:b/>
        </w:rPr>
        <w:t xml:space="preserve"> </w:t>
      </w:r>
      <w:r>
        <w:rPr>
          <w:b/>
        </w:rPr>
        <w:t>Рекомендуемый перечень обосновывающих документов по оплатам с Отдельных счетов</w:t>
      </w:r>
      <w:r>
        <w:rPr>
          <w:rFonts w:eastAsia="Calibri" w:cs="Calibri" w:ascii="Calibri" w:hAnsi="Calibri"/>
        </w:rPr>
        <w:t xml:space="preserve"> </w:t>
      </w:r>
    </w:p>
    <w:tbl>
      <w:tblPr>
        <w:tblStyle w:val="TableGrid"/>
        <w:tblW w:w="14700" w:type="dxa"/>
        <w:jc w:val="left"/>
        <w:tblInd w:w="94" w:type="dxa"/>
        <w:tblLayout w:type="fixed"/>
        <w:tblCellMar>
          <w:top w:w="9" w:type="dxa"/>
          <w:left w:w="108" w:type="dxa"/>
          <w:bottom w:w="0" w:type="dxa"/>
          <w:right w:w="51" w:type="dxa"/>
        </w:tblCellMar>
        <w:tblLook w:noVBand="1" w:val="04a0" w:noHBand="0" w:lastColumn="0" w:firstColumn="1" w:lastRow="0" w:firstRow="1"/>
      </w:tblPr>
      <w:tblGrid>
        <w:gridCol w:w="692"/>
        <w:gridCol w:w="4788"/>
        <w:gridCol w:w="9220"/>
      </w:tblGrid>
      <w:tr>
        <w:trPr>
          <w:trHeight w:val="286" w:hRule="atLeast"/>
        </w:trPr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12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№ </w:t>
            </w:r>
          </w:p>
        </w:tc>
        <w:tc>
          <w:tcPr>
            <w:tcW w:w="4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62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Виды платежей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6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Перечень документов для обоснования </w:t>
            </w:r>
          </w:p>
        </w:tc>
      </w:tr>
      <w:tr>
        <w:trPr>
          <w:trHeight w:val="286" w:hRule="atLeast"/>
        </w:trPr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3" w:right="0" w:hanging="0"/>
              <w:jc w:val="center"/>
              <w:rPr>
                <w:kern w:val="0"/>
                <w:szCs w:val="22"/>
                <w:lang w:val="ru-RU" w:eastAsia="ru-RU" w:bidi="ar-SA"/>
              </w:rPr>
            </w:pPr>
            <w:r>
              <w:rPr>
                <w:b/>
                <w:kern w:val="0"/>
                <w:szCs w:val="22"/>
                <w:lang w:val="ru-RU" w:eastAsia="ru-RU" w:bidi="ar-SA"/>
              </w:rPr>
              <w:t xml:space="preserve">  </w:t>
            </w:r>
          </w:p>
        </w:tc>
        <w:tc>
          <w:tcPr>
            <w:tcW w:w="4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Все виды платежей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Заявка на согласование планируемых переводов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>1.1</w:t>
            </w:r>
            <w:r>
              <w:rPr>
                <w:b/>
                <w:kern w:val="0"/>
                <w:szCs w:val="22"/>
                <w:lang w:val="ru-RU" w:eastAsia="ru-RU" w:bidi="ar-SA"/>
              </w:rPr>
              <w:t xml:space="preserve">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17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по факту выполненных  работ (СМР)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1.1.1 Копия договора </w:t>
            </w:r>
          </w:p>
        </w:tc>
      </w:tr>
      <w:tr>
        <w:trPr>
          <w:trHeight w:val="1117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1.1.2. Документы (уведомление) о допуске персонала Подрядчика к выполнению работ (вида работ) с указанием объема работы, Ф.И.О., должности, группы по электробезопасности работников, копий приказов о приеме на работу или иных документов, подтверждающих договорные отношения персонала с Подрядчиком </w:t>
            </w:r>
          </w:p>
        </w:tc>
      </w:tr>
      <w:tr>
        <w:trPr>
          <w:trHeight w:val="1114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1.1.3 Документы (уведомление) о допуске техники Подрядчика (наименование техники и ее гос. номер, с обязательным приложением копий ПТС или ПСМ либо копии документов, подтверждающих право аренды техникой или владение ей на ином законном основании), если используется при выполнении работ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1.1.4 Копии форм КС-2, КС-3, КС-14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1.1.5 Счет на оплату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1.1.6 Счет-фактуры 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1.1.7 Подтверждение Строительного контролера </w:t>
            </w:r>
          </w:p>
        </w:tc>
      </w:tr>
      <w:tr>
        <w:trPr>
          <w:trHeight w:val="562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4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1.1.8 Договор страхования к договорам подряда на проведение строительномонтажных работ стоимостью свыше 10 млн. руб. (включая НДС) </w:t>
            </w:r>
          </w:p>
        </w:tc>
      </w:tr>
      <w:tr>
        <w:trPr>
          <w:trHeight w:val="288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1.2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по факту выполненных работ (землеустройство и кадастровые работы, разработка рабочей документации и др.)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1.2.1 Копия договора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1.2.2 Копии актов выполненных работ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1.2.3 Счет на оплату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1.2.4 Счет-фактуры 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за поставленные материалы и оборудование.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1.3.1 Копия договора (дополнительных соглашений)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1.3.2 Копии счета </w:t>
            </w:r>
          </w:p>
        </w:tc>
      </w:tr>
      <w:tr>
        <w:trPr>
          <w:trHeight w:val="564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1.3.3 Копия универсального  передаточного документа (УПД)/ Копия товарной накладной (ТОРГ 12)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1.3.4 Товарно-транспортная накладная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1.3.5 Счет-фактуры 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1.4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накладных расходов (оплата услуг, поставки товарно-материальных ценностей, в том числе оплата аванса)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1.4.1 Копия договора (дополнительных соглашений)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1.4.2 Счет на оплату </w:t>
            </w:r>
          </w:p>
        </w:tc>
      </w:tr>
      <w:tr>
        <w:trPr>
          <w:trHeight w:val="562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1.4.3 Акт сдачи-приемки оказанных услуг, составленный по форме, предусмотренной договором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1.4.4 Товарно-транспортная накладная 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1.5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Авансовые платежи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1.5.1 Копия договора (дополнительных соглашений)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1.5.2 Акт освидетельствования выполненных работ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1.5.3 Копия счет на оплату 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1.5.4 Банковская гарантия на выплату аванса </w:t>
            </w:r>
          </w:p>
        </w:tc>
      </w:tr>
      <w:tr>
        <w:trPr>
          <w:trHeight w:val="288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1.6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труда и соответствующих отчислений от фонда оплаты труда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1.6.1 Реестр на выплату заработной платы, копии расчетно-платежной ведомости </w:t>
            </w:r>
          </w:p>
        </w:tc>
      </w:tr>
      <w:tr>
        <w:trPr>
          <w:trHeight w:val="562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1.6.2 Расчет-обоснование, формы-4 ФССРФ или расчет-обоснование(платёж ранее даты отчёта)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1.6.3 Формы РСВ-1 ПФР или расчет-обоснование (платёж ранее даты отчёта)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1.7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командировочных расходов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1.7.1 Копия сметы расходов на командировку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1.7.2 Копия приказа (распоряжения) о направлении в командировку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1.7.3 Копия авансового отчета, утвержденного уполномоченным лицом </w:t>
            </w:r>
          </w:p>
        </w:tc>
      </w:tr>
      <w:tr>
        <w:trPr>
          <w:trHeight w:val="564" w:hRule="atLeast"/>
        </w:trPr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1.8 </w:t>
            </w:r>
          </w:p>
        </w:tc>
        <w:tc>
          <w:tcPr>
            <w:tcW w:w="4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налогов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1.8.1 Копия налоговой декларации по соответствующему налогу или расчетобоснование (платёж ранее даты декларации) </w:t>
            </w:r>
          </w:p>
        </w:tc>
      </w:tr>
      <w:tr>
        <w:trPr>
          <w:trHeight w:val="286" w:hRule="atLeast"/>
        </w:trPr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1.9 </w:t>
            </w:r>
          </w:p>
        </w:tc>
        <w:tc>
          <w:tcPr>
            <w:tcW w:w="4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Расчетное обслуживание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1.9.1 Списание комиссии распоряжениями Банка  </w:t>
            </w:r>
          </w:p>
        </w:tc>
      </w:tr>
      <w:tr>
        <w:trPr>
          <w:trHeight w:val="562" w:hRule="atLeast"/>
        </w:trPr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1.10 </w:t>
            </w:r>
          </w:p>
        </w:tc>
        <w:tc>
          <w:tcPr>
            <w:tcW w:w="4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Оплата вознаграждения за банковскую гарантию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1.10.1 Списание распоряжениями Банка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1.11 </w:t>
            </w:r>
          </w:p>
        </w:tc>
        <w:tc>
          <w:tcPr>
            <w:tcW w:w="47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2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Страхование </w:t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1.11.1 Копия договора </w:t>
            </w:r>
          </w:p>
        </w:tc>
      </w:tr>
      <w:tr>
        <w:trPr>
          <w:trHeight w:val="286" w:hRule="atLeast"/>
        </w:trPr>
        <w:tc>
          <w:tcPr>
            <w:tcW w:w="692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4788" w:type="dxa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uppressAutoHyphens w:val="true"/>
              <w:spacing w:lineRule="auto" w:line="259" w:before="0" w:after="16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</w:r>
          </w:p>
        </w:tc>
        <w:tc>
          <w:tcPr>
            <w:tcW w:w="9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pBdr>
                <w:top w:val="nil"/>
                <w:left w:val="nil"/>
                <w:bottom w:val="nil"/>
                <w:right w:val="nil"/>
              </w:pBdr>
              <w:suppressAutoHyphens w:val="true"/>
              <w:spacing w:lineRule="auto" w:line="259" w:before="0" w:after="0"/>
              <w:ind w:left="0" w:right="0" w:hanging="0"/>
              <w:jc w:val="left"/>
              <w:rPr>
                <w:kern w:val="0"/>
                <w:szCs w:val="22"/>
                <w:lang w:val="ru-RU" w:eastAsia="ru-RU" w:bidi="ar-SA"/>
              </w:rPr>
            </w:pPr>
            <w:r>
              <w:rPr>
                <w:kern w:val="0"/>
                <w:szCs w:val="22"/>
                <w:lang w:val="ru-RU" w:eastAsia="ru-RU" w:bidi="ar-SA"/>
              </w:rPr>
              <w:t xml:space="preserve">1.11.2 Счет на оплату </w:t>
            </w:r>
          </w:p>
        </w:tc>
      </w:tr>
    </w:tbl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214"/>
        <w:ind w:left="0" w:right="397" w:hanging="0"/>
        <w:jc w:val="left"/>
        <w:rPr/>
      </w:pPr>
      <w:r>
        <w:rPr>
          <w:sz w:val="2"/>
        </w:rPr>
        <w:t xml:space="preserve"> </w:t>
      </w:r>
    </w:p>
    <w:p>
      <w:pPr>
        <w:pStyle w:val="Normal"/>
        <w:pBdr>
          <w:top w:val="nil"/>
          <w:left w:val="nil"/>
          <w:bottom w:val="nil"/>
          <w:right w:val="nil"/>
        </w:pBdr>
        <w:spacing w:lineRule="auto" w:line="259" w:before="0" w:after="3690"/>
        <w:ind w:left="519" w:right="0" w:hanging="0"/>
        <w:jc w:val="left"/>
        <w:rPr/>
      </w:pPr>
      <w:r>
        <w:rPr>
          <w:b/>
        </w:rPr>
        <w:t xml:space="preserve"> </w:t>
      </w:r>
    </w:p>
    <w:sectPr>
      <w:footerReference w:type="even" r:id="rId9"/>
      <w:footerReference w:type="default" r:id="rId10"/>
      <w:footerReference w:type="first" r:id="rId11"/>
      <w:type w:val="nextPage"/>
      <w:pgSz w:orient="landscape" w:w="16838" w:h="11906"/>
      <w:pgMar w:left="1334" w:right="313" w:gutter="0" w:header="0" w:top="753" w:footer="720" w:bottom="777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imes New Roman">
    <w:charset w:val="01"/>
    <w:family w:val="roman"/>
    <w:pitch w:val="variable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Segoe UI Symbol">
    <w:charset w:val="01"/>
    <w:family w:val="roman"/>
    <w:pitch w:val="variable"/>
  </w:font>
  <w:font w:name="Segoe UI Symbol">
    <w:charset w:val="01"/>
    <w:family w:val="auto"/>
    <w:pitch w:val="default"/>
  </w:font>
  <w:font w:name="Arial">
    <w:charset w:val="01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default"/>
  </w:font>
  <w:font w:name="Symbol">
    <w:charset w:val="02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76" w:before="0" w:after="0"/>
      <w:ind w:left="7967" w:right="-756" w:hanging="0"/>
      <w:jc w:val="left"/>
      <w:rPr/>
    </w:pPr>
    <w:r>
      <w:rPr>
        <w:rFonts w:eastAsia="Arial" w:cs="Arial" w:ascii="Arial" w:hAnsi="Arial"/>
        <w:b/>
        <w:color w:val="0000FF"/>
        <w:sz w:val="12"/>
      </w:rPr>
      <w:t>Подписан на ЭТП РАД | «Закупки 223-ФЗ» dbfile19718u80000p0tot3iar7fq64k</w:t>
    </w:r>
  </w:p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721" w:hanging="0"/>
      <w:jc w:val="right"/>
      <w:rPr/>
    </w:pPr>
    <w:r>
      <w:rPr>
        <w:rFonts w:eastAsia="Arial" w:cs="Arial" w:ascii="Arial" w:hAnsi="Arial"/>
        <w:b/>
        <w:color w:val="0000FF"/>
        <w:sz w:val="12"/>
      </w:rPr>
      <w:t xml:space="preserve">Страница </w:t>
    </w:r>
    <w:r>
      <w:rPr>
        <w:rFonts w:eastAsia="Arial" w:cs="Arial" w:ascii="Arial" w:hAnsi="Arial"/>
        <w:b/>
        <w:color w:val="0000FF"/>
        <w:sz w:val="12"/>
      </w:rPr>
      <w:fldChar w:fldCharType="begin"/>
    </w:r>
    <w:r>
      <w:rPr>
        <w:sz w:val="12"/>
        <w:b/>
        <w:rFonts w:eastAsia="Arial" w:cs="Arial" w:ascii="Arial" w:hAnsi="Arial"/>
        <w:color w:val="0000FF"/>
      </w:rPr>
      <w:instrText xml:space="preserve"> PAGE </w:instrText>
    </w:r>
    <w:r>
      <w:rPr>
        <w:sz w:val="12"/>
        <w:b/>
        <w:rFonts w:eastAsia="Arial" w:cs="Arial" w:ascii="Arial" w:hAnsi="Arial"/>
        <w:color w:val="0000FF"/>
      </w:rPr>
      <w:fldChar w:fldCharType="separate"/>
    </w:r>
    <w:r>
      <w:rPr>
        <w:sz w:val="12"/>
        <w:b/>
        <w:rFonts w:eastAsia="Arial" w:cs="Arial" w:ascii="Arial" w:hAnsi="Arial"/>
        <w:color w:val="0000FF"/>
      </w:rPr>
      <w:t>0</w:t>
    </w:r>
    <w:r>
      <w:rPr>
        <w:sz w:val="12"/>
        <w:b/>
        <w:rFonts w:eastAsia="Arial" w:cs="Arial" w:ascii="Arial" w:hAnsi="Arial"/>
        <w:color w:val="0000FF"/>
      </w:rPr>
      <w:fldChar w:fldCharType="end"/>
    </w:r>
    <w:r>
      <w:rPr>
        <w:rFonts w:eastAsia="Arial" w:cs="Arial" w:ascii="Arial" w:hAnsi="Arial"/>
        <w:b/>
        <w:color w:val="0000FF"/>
        <w:sz w:val="12"/>
      </w:rPr>
      <w:t xml:space="preserve"> из 14</w:t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721" w:hanging="0"/>
      <w:jc w:val="right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721" w:hanging="0"/>
      <w:jc w:val="right"/>
      <w:rPr/>
    </w:pPr>
    <w:r>
      <w:rPr/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59" w:before="0" w:after="81"/>
      <w:ind w:left="0" w:right="-532" w:hanging="0"/>
      <w:jc w:val="right"/>
      <w:rPr/>
    </w:pPr>
    <w:r>
      <w:rPr>
        <w:rFonts w:eastAsia="Arial" w:cs="Arial" w:ascii="Arial" w:hAnsi="Arial"/>
        <w:b/>
        <w:color w:val="0000FF"/>
        <w:sz w:val="12"/>
      </w:rPr>
      <w:t>Подписан на ЭТП РАД | «Закупки 223-ФЗ»</w:t>
    </w:r>
  </w:p>
  <w:p>
    <w:pPr>
      <w:pStyle w:val="Normal"/>
      <w:pBdr>
        <w:top w:val="nil"/>
        <w:left w:val="nil"/>
        <w:bottom w:val="nil"/>
        <w:right w:val="nil"/>
      </w:pBdr>
      <w:tabs>
        <w:tab w:val="clear" w:pos="708"/>
        <w:tab w:val="right" w:pos="9676" w:leader="none"/>
      </w:tabs>
      <w:spacing w:lineRule="auto" w:line="259" w:before="0" w:after="0"/>
      <w:ind w:left="0" w:right="0" w:hanging="0"/>
      <w:jc w:val="left"/>
      <w:rPr/>
    </w:pPr>
    <w:r>
      <w:rPr>
        <w:rFonts w:eastAsia="Calibri" w:cs="Calibri" w:ascii="Calibri" w:hAnsi="Calibri"/>
        <w:sz w:val="22"/>
      </w:rPr>
      <w:t xml:space="preserve"> </w:t>
    </w:r>
    <w:r>
      <w:rPr>
        <w:rFonts w:eastAsia="Calibri" w:cs="Calibri" w:ascii="Calibri" w:hAnsi="Calibri"/>
        <w:sz w:val="22"/>
      </w:rPr>
      <w:tab/>
    </w:r>
    <w:r>
      <w:rPr>
        <w:rFonts w:eastAsia="Arial" w:cs="Arial" w:ascii="Arial" w:hAnsi="Arial"/>
        <w:b/>
        <w:color w:val="0000FF"/>
        <w:sz w:val="12"/>
      </w:rPr>
      <w:t>dbfile19718u80000p0tot3iar7fq64k</w:t>
    </w:r>
  </w:p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945" w:hanging="0"/>
      <w:jc w:val="right"/>
      <w:rPr/>
    </w:pPr>
    <w:r>
      <w:rPr>
        <w:rFonts w:eastAsia="Arial" w:cs="Arial" w:ascii="Arial" w:hAnsi="Arial"/>
        <w:b/>
        <w:color w:val="0000FF"/>
        <w:sz w:val="12"/>
      </w:rPr>
      <w:t xml:space="preserve">Страница </w:t>
    </w:r>
    <w:r>
      <w:rPr>
        <w:rFonts w:eastAsia="Arial" w:cs="Arial" w:ascii="Arial" w:hAnsi="Arial"/>
        <w:b/>
        <w:color w:val="0000FF"/>
        <w:sz w:val="12"/>
      </w:rPr>
      <w:fldChar w:fldCharType="begin"/>
    </w:r>
    <w:r>
      <w:rPr>
        <w:sz w:val="12"/>
        <w:b/>
        <w:rFonts w:eastAsia="Arial" w:cs="Arial" w:ascii="Arial" w:hAnsi="Arial"/>
        <w:color w:val="0000FF"/>
      </w:rPr>
      <w:instrText xml:space="preserve"> PAGE </w:instrText>
    </w:r>
    <w:r>
      <w:rPr>
        <w:sz w:val="12"/>
        <w:b/>
        <w:rFonts w:eastAsia="Arial" w:cs="Arial" w:ascii="Arial" w:hAnsi="Arial"/>
        <w:color w:val="0000FF"/>
      </w:rPr>
      <w:fldChar w:fldCharType="separate"/>
    </w:r>
    <w:r>
      <w:rPr>
        <w:sz w:val="12"/>
        <w:b/>
        <w:rFonts w:eastAsia="Arial" w:cs="Arial" w:ascii="Arial" w:hAnsi="Arial"/>
        <w:color w:val="0000FF"/>
      </w:rPr>
      <w:t>0</w:t>
    </w:r>
    <w:r>
      <w:rPr>
        <w:sz w:val="12"/>
        <w:b/>
        <w:rFonts w:eastAsia="Arial" w:cs="Arial" w:ascii="Arial" w:hAnsi="Arial"/>
        <w:color w:val="0000FF"/>
      </w:rPr>
      <w:fldChar w:fldCharType="end"/>
    </w:r>
    <w:r>
      <w:rPr>
        <w:rFonts w:eastAsia="Arial" w:cs="Arial" w:ascii="Arial" w:hAnsi="Arial"/>
        <w:b/>
        <w:color w:val="0000FF"/>
        <w:sz w:val="12"/>
      </w:rPr>
      <w:t xml:space="preserve"> из 14</w:t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945" w:hanging="0"/>
      <w:jc w:val="right"/>
      <w:rPr/>
    </w:pPr>
    <w:r>
      <w:rPr/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>
        <w:top w:val="nil"/>
        <w:left w:val="nil"/>
        <w:bottom w:val="nil"/>
        <w:right w:val="nil"/>
      </w:pBdr>
      <w:spacing w:lineRule="auto" w:line="259" w:before="0" w:after="0"/>
      <w:ind w:left="0" w:right="945" w:hanging="0"/>
      <w:jc w:val="right"/>
      <w:rPr/>
    </w:pPr>
    <w:r>
      <w:rPr/>
    </w:r>
  </w:p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9" w:before="0" w:after="160"/>
      <w:ind w:left="0" w:right="0" w:hanging="0"/>
      <w:jc w:val="left"/>
      <w:rPr/>
    </w:pPr>
    <w:r>
      <w:rPr/>
    </w:r>
  </w:p>
</w:ftr>
</file>

<file path=word/footer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9" w:before="0" w:after="160"/>
      <w:ind w:left="0" w:right="0" w:hanging="0"/>
      <w:jc w:val="left"/>
      <w:rPr/>
    </w:pPr>
    <w:r>
      <w:rPr/>
    </w:r>
  </w:p>
</w:ftr>
</file>

<file path=word/footer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9" w:before="0" w:after="160"/>
      <w:ind w:left="0" w:right="0" w:hanging="0"/>
      <w:jc w:val="left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2"/>
      <w:numFmt w:val="decimal"/>
      <w:lvlText w:val="%1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21"/>
      <w:numFmt w:val="decimal"/>
      <w:lvlText w:val="%1.%2"/>
      <w:lvlJc w:val="left"/>
      <w:pPr>
        <w:tabs>
          <w:tab w:val="num" w:pos="0"/>
        </w:tabs>
        <w:ind w:left="374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993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10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182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254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26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398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4707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3">
    <w:lvl w:ilvl="0">
      <w:start w:val="2"/>
      <w:numFmt w:val="decimal"/>
      <w:lvlText w:val="%1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11"/>
      <w:numFmt w:val="decimal"/>
      <w:lvlText w:val="%1.%2."/>
      <w:lvlJc w:val="left"/>
      <w:pPr>
        <w:tabs>
          <w:tab w:val="num" w:pos="0"/>
        </w:tabs>
        <w:ind w:left="863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10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82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254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26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98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470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542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4">
    <w:lvl w:ilvl="0">
      <w:start w:val="2"/>
      <w:numFmt w:val="decimal"/>
      <w:lvlText w:val="%1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22"/>
      <w:numFmt w:val="decimal"/>
      <w:lvlText w:val="%1.%2"/>
      <w:lvlJc w:val="left"/>
      <w:pPr>
        <w:tabs>
          <w:tab w:val="num" w:pos="0"/>
        </w:tabs>
        <w:ind w:left="371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15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10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182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254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26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398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4702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5">
    <w:lvl w:ilvl="0">
      <w:start w:val="1"/>
      <w:numFmt w:val="bullet"/>
      <w:lvlText w:val="-"/>
      <w:lvlJc w:val="left"/>
      <w:pPr>
        <w:tabs>
          <w:tab w:val="num" w:pos="0"/>
        </w:tabs>
        <w:ind w:left="19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50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3228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66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388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82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</w:abstractNum>
  <w:abstractNum w:abstractNumId="6">
    <w:lvl w:ilvl="0">
      <w:start w:val="2"/>
      <w:numFmt w:val="decimal"/>
      <w:lvlText w:val="%1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2"/>
      <w:numFmt w:val="decimal"/>
      <w:suff w:val="space"/>
      <w:lvlText w:val="%1.%2."/>
      <w:lvlJc w:val="left"/>
      <w:pPr>
        <w:tabs>
          <w:tab w:val="num" w:pos="0"/>
        </w:tabs>
        <w:ind w:left="29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0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8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25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2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9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46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54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7">
    <w:lvl w:ilvl="0">
      <w:start w:val="3"/>
      <w:numFmt w:val="decimal"/>
      <w:lvlText w:val="%1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2"/>
      <w:numFmt w:val="decimal"/>
      <w:suff w:val="space"/>
      <w:lvlText w:val="%1.%2."/>
      <w:lvlJc w:val="left"/>
      <w:pPr>
        <w:tabs>
          <w:tab w:val="num" w:pos="0"/>
        </w:tabs>
        <w:ind w:left="29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0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8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25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2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9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46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54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8">
    <w:lvl w:ilvl="0">
      <w:start w:val="1"/>
      <w:numFmt w:val="decimal"/>
      <w:lvlText w:val="%1."/>
      <w:lvlJc w:val="left"/>
      <w:pPr>
        <w:tabs>
          <w:tab w:val="num" w:pos="0"/>
        </w:tabs>
        <w:ind w:left="29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18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90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62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34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06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78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50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22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rFonts w:ascii="Times New Roman" w:hAnsi="Times New Roman" w:eastAsia="Times New Roman" w:cs="Times New Roman"/>
        <w:color w:val="000000"/>
      </w:rPr>
    </w:lvl>
  </w:abstractNum>
  <w:abstractNum w:abstractNumId="9">
    <w:lvl w:ilvl="0">
      <w:start w:val="1"/>
      <w:numFmt w:val="bullet"/>
      <w:lvlText w:val="-"/>
      <w:lvlJc w:val="left"/>
      <w:pPr>
        <w:tabs>
          <w:tab w:val="num" w:pos="0"/>
        </w:tabs>
        <w:ind w:left="19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50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3228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66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388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828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</w:abstractNum>
  <w:abstractNum w:abstractNumId="10">
    <w:lvl w:ilvl="0">
      <w:start w:val="1"/>
      <w:numFmt w:val="bullet"/>
      <w:lvlText w:val="-"/>
      <w:lvlJc w:val="left"/>
      <w:pPr>
        <w:tabs>
          <w:tab w:val="num" w:pos="0"/>
        </w:tabs>
        <w:ind w:left="1447" w:hanging="36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7" w:hanging="360"/>
      </w:pPr>
      <w:rPr>
        <w:rFonts w:ascii="Wingdings" w:hAnsi="Wingdings" w:cs="Wingdings" w:hint="default"/>
      </w:rPr>
    </w:lvl>
  </w:abstractNum>
  <w:abstractNum w:abstractNumId="11">
    <w:lvl w:ilvl="0">
      <w:start w:val="1"/>
      <w:numFmt w:val="bullet"/>
      <w:lvlText w:val="-"/>
      <w:lvlJc w:val="left"/>
      <w:pPr>
        <w:tabs>
          <w:tab w:val="num" w:pos="0"/>
        </w:tabs>
        <w:ind w:left="741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88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04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</w:abstractNum>
  <w:abstractNum w:abstractNumId="12">
    <w:lvl w:ilvl="0">
      <w:start w:val="1"/>
      <w:numFmt w:val="bullet"/>
      <w:lvlText w:val="-"/>
      <w:lvlJc w:val="left"/>
      <w:pPr>
        <w:tabs>
          <w:tab w:val="num" w:pos="0"/>
        </w:tabs>
        <w:ind w:left="873" w:hanging="360"/>
      </w:pPr>
      <w:rPr>
        <w:rFonts w:ascii="Segoe UI Symbol" w:hAnsi="Segoe UI Symbol" w:cs="Segoe UI Symbo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9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31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03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5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7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9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91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633" w:hanging="360"/>
      </w:pPr>
      <w:rPr>
        <w:rFonts w:ascii="Wingdings" w:hAnsi="Wingdings" w:cs="Wingdings" w:hint="default"/>
      </w:rPr>
    </w:lvl>
  </w:abstractNum>
  <w:abstractNum w:abstractNumId="13">
    <w:lvl w:ilvl="0">
      <w:start w:val="1"/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w="http://schemas.openxmlformats.org/wordprocessingml/2006/main">
  <w:zoom w:percent="15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true"/>
      <w:bidi w:val="0"/>
      <w:spacing w:lineRule="auto" w:line="247" w:before="0" w:after="21"/>
      <w:ind w:left="156" w:right="113" w:hanging="10"/>
      <w:jc w:val="both"/>
    </w:pPr>
    <w:rPr>
      <w:rFonts w:ascii="Times New Roman" w:hAnsi="Times New Roman" w:eastAsia="Times New Roman" w:cs="Times New Roman"/>
      <w:color w:val="000000"/>
      <w:kern w:val="0"/>
      <w:sz w:val="24"/>
      <w:szCs w:val="22"/>
      <w:lang w:val="ru-RU" w:eastAsia="ru-RU" w:bidi="ar-SA"/>
    </w:rPr>
  </w:style>
  <w:style w:type="paragraph" w:styleId="Heading1">
    <w:name w:val="Heading 1"/>
    <w:next w:val="Normal"/>
    <w:link w:val="1"/>
    <w:uiPriority w:val="9"/>
    <w:unhideWhenUsed/>
    <w:qFormat/>
    <w:pPr>
      <w:keepNext w:val="true"/>
      <w:keepLines/>
      <w:widowControl/>
      <w:suppressAutoHyphens w:val="true"/>
      <w:bidi w:val="0"/>
      <w:spacing w:lineRule="auto" w:line="259" w:before="0" w:after="125"/>
      <w:ind w:left="41" w:hanging="10"/>
      <w:jc w:val="center"/>
      <w:outlineLvl w:val="0"/>
    </w:pPr>
    <w:rPr>
      <w:rFonts w:ascii="Times New Roman" w:hAnsi="Times New Roman" w:eastAsia="Times New Roman" w:cs="Times New Roman"/>
      <w:b/>
      <w:color w:val="000000"/>
      <w:kern w:val="0"/>
      <w:sz w:val="24"/>
      <w:szCs w:val="22"/>
      <w:lang w:val="ru-RU" w:eastAsia="ru-RU" w:bidi="ar-SA"/>
    </w:rPr>
  </w:style>
  <w:style w:type="paragraph" w:styleId="Heading2">
    <w:name w:val="Heading 2"/>
    <w:next w:val="Normal"/>
    <w:link w:val="2"/>
    <w:uiPriority w:val="9"/>
    <w:unhideWhenUsed/>
    <w:qFormat/>
    <w:pPr>
      <w:keepNext w:val="true"/>
      <w:keepLines/>
      <w:widowControl/>
      <w:suppressAutoHyphens w:val="true"/>
      <w:bidi w:val="0"/>
      <w:spacing w:lineRule="auto" w:line="259" w:before="0" w:after="3"/>
      <w:ind w:left="10" w:hanging="10"/>
      <w:jc w:val="left"/>
      <w:outlineLvl w:val="1"/>
    </w:pPr>
    <w:rPr>
      <w:rFonts w:ascii="Arial" w:hAnsi="Arial" w:eastAsia="Arial" w:cs="Arial"/>
      <w:b/>
      <w:color w:val="0000FF"/>
      <w:kern w:val="0"/>
      <w:sz w:val="12"/>
      <w:szCs w:val="22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2" w:customStyle="1">
    <w:name w:val="Заголовок 2 Знак"/>
    <w:qFormat/>
    <w:rPr>
      <w:rFonts w:ascii="Arial" w:hAnsi="Arial" w:eastAsia="Arial" w:cs="Arial"/>
      <w:b/>
      <w:color w:val="0000FF"/>
      <w:sz w:val="12"/>
    </w:rPr>
  </w:style>
  <w:style w:type="character" w:styleId="1" w:customStyle="1">
    <w:name w:val="Заголовок 1 Знак"/>
    <w:qFormat/>
    <w:rPr>
      <w:rFonts w:ascii="Times New Roman" w:hAnsi="Times New Roman" w:eastAsia="Times New Roman" w:cs="Times New Roman"/>
      <w:b/>
      <w:color w:val="000000"/>
      <w:sz w:val="24"/>
    </w:rPr>
  </w:style>
  <w:style w:type="character" w:styleId="Style7" w:customStyle="1">
    <w:name w:val="Верхний колонтитул Знак"/>
    <w:basedOn w:val="DefaultParagraphFont"/>
    <w:uiPriority w:val="99"/>
    <w:qFormat/>
    <w:rsid w:val="000543d0"/>
    <w:rPr>
      <w:rFonts w:ascii="Times New Roman" w:hAnsi="Times New Roman" w:eastAsia="Times New Roman" w:cs="Times New Roman"/>
      <w:color w:val="000000"/>
      <w:sz w:val="24"/>
    </w:rPr>
  </w:style>
  <w:style w:type="paragraph" w:styleId="Style8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Style9">
    <w:name w:val="Указатель"/>
    <w:basedOn w:val="Normal"/>
    <w:qFormat/>
    <w:pPr>
      <w:suppressLineNumbers/>
    </w:pPr>
    <w:rPr/>
  </w:style>
  <w:style w:type="paragraph" w:styleId="Title">
    <w:name w:val="Titl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i/>
      <w:iCs/>
      <w:szCs w:val="24"/>
    </w:rPr>
  </w:style>
  <w:style w:type="paragraph" w:styleId="Indexheading">
    <w:name w:val="index heading"/>
    <w:basedOn w:val="Normal"/>
    <w:qFormat/>
    <w:pPr>
      <w:suppressLineNumbers/>
    </w:pPr>
    <w:rPr/>
  </w:style>
  <w:style w:type="paragraph" w:styleId="Style10" w:customStyle="1">
    <w:name w:val="Колонтитул"/>
    <w:basedOn w:val="Normal"/>
    <w:qFormat/>
    <w:pPr/>
    <w:rPr/>
  </w:style>
  <w:style w:type="paragraph" w:styleId="Header">
    <w:name w:val="Header"/>
    <w:basedOn w:val="Normal"/>
    <w:link w:val="Style7"/>
    <w:uiPriority w:val="99"/>
    <w:unhideWhenUsed/>
    <w:rsid w:val="000543d0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7c4b00"/>
    <w:pPr>
      <w:spacing w:before="0" w:after="21"/>
      <w:ind w:left="720" w:right="113" w:hanging="10"/>
      <w:contextualSpacing/>
    </w:pPr>
    <w:rPr/>
  </w:style>
  <w:style w:type="paragraph" w:styleId="Footer">
    <w:name w:val="Footer"/>
    <w:basedOn w:val="Style10"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oter" Target="footer1.xml"/><Relationship Id="rId4" Type="http://schemas.openxmlformats.org/officeDocument/2006/relationships/footer" Target="footer2.xml"/><Relationship Id="rId5" Type="http://schemas.openxmlformats.org/officeDocument/2006/relationships/footer" Target="footer3.xml"/><Relationship Id="rId6" Type="http://schemas.openxmlformats.org/officeDocument/2006/relationships/footer" Target="footer4.xml"/><Relationship Id="rId7" Type="http://schemas.openxmlformats.org/officeDocument/2006/relationships/footer" Target="footer5.xml"/><Relationship Id="rId8" Type="http://schemas.openxmlformats.org/officeDocument/2006/relationships/footer" Target="footer6.xml"/><Relationship Id="rId9" Type="http://schemas.openxmlformats.org/officeDocument/2006/relationships/footer" Target="footer7.xml"/><Relationship Id="rId10" Type="http://schemas.openxmlformats.org/officeDocument/2006/relationships/footer" Target="footer8.xml"/><Relationship Id="rId11" Type="http://schemas.openxmlformats.org/officeDocument/2006/relationships/footer" Target="footer9.xml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Application>AlterOffice/3.4.0.6$Linux_X86_64 LibreOffice_project/ad8c41dce69105450bf791d4900d64b1f82e10d0</Application>
  <AppVersion>15.0000</AppVersion>
  <Pages>14</Pages>
  <Words>3786</Words>
  <Characters>27640</Characters>
  <CharactersWithSpaces>31681</CharactersWithSpaces>
  <Paragraphs>347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2025-01-20T03:53:00Z</dcterms:created>
  <dc:creator>Администратор</dc:creator>
  <dc:description/>
  <dc:language>ru-RU</dc:language>
  <cp:lastModifiedBy>mozzhuhin_dyu</cp:lastModifiedBy>
  <dcterms:modified xsi:type="dcterms:W3CDTF">2026-06-17T13:38:00Z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